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ModuPorter SAP Domain Migration Handbook</w:t>
      </w:r>
    </w:p>
    <w:p>
      <w:r>
        <w:t>Version 0.1.0  |  10 October 2026</w:t>
      </w:r>
    </w:p>
    <w:p>
      <w:r>
        <w:t>This handbook guides SAP consultants and ABAP developers through the eight new domain packs. They provide ECC extraction templates, preparation and target comparisons. The drafts have passed offline checks, but have not been activated in SAP or validated through a trial load.</w:t>
      </w:r>
    </w:p>
    <w:tbl>
      <w:tblPr>
        <w:tblW w:type="auto" w:w="0"/>
        <w:tblLayout w:type="fixed"/>
        <w:tblLook w:firstColumn="1" w:firstRow="1" w:lastColumn="0" w:lastRow="0" w:noHBand="0" w:noVBand="1" w:val="04A0"/>
      </w:tblPr>
      <w:tblGrid>
        <w:gridCol w:w="4195"/>
        <w:gridCol w:w="1191"/>
        <w:gridCol w:w="1191"/>
        <w:gridCol w:w="1191"/>
        <w:gridCol w:w="1191"/>
      </w:tblGrid>
      <w:tr>
        <w:trPr>
          <w:tblHeader/>
          <w:cantSplit/>
        </w:trPr>
        <w:tc>
          <w:tcPr>
            <w:tcW w:type="dxa" w:w="4195"/>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pPr>
            <w:r>
              <w:rPr>
                <w:b/>
                <w:color w:val="FFFFFF"/>
                <w:sz w:val="20"/>
              </w:rPr>
              <w:t>Domain</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Modules</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Structures</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ECC</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S4</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Asset Accounting</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3</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5</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18</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2</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Materials Management</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5</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21</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68</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6</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Quality Management</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4</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15</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49</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4</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Project System</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3</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4</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15</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4</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Production Planning</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4</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15</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49</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2</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Controlling</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5</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9</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32</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6</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Financial Accounting</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5</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17</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56</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Sales and Distribution</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3</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12</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39</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6</w:t>
            </w:r>
          </w:p>
        </w:tc>
      </w:tr>
    </w:tbl>
    <w:p/>
    <w:p>
      <w:r>
        <w:t>The delivery contains 32 business modules, 98 extraction structures, 722 mapped fields and 362 CDS views. Every structure has a target CSV comparison contract. The 36 S4 views are candidates for selected primary objects. Existing analytical reports remain in their original product folders.</w:t>
      </w:r>
    </w:p>
    <w:p>
      <w:pPr>
        <w:pStyle w:val="Heading2"/>
      </w:pPr>
      <w:r>
        <w:t>Architecture and responsibility</w:t>
      </w:r>
    </w:p>
    <w:p>
      <w:r>
        <w:t>SAP source → Basic → Composite → Consumption. Basic preserves native table grain, Composite establishes field aliases and Consumption delivers separate candidate structures for headers and details. This avoids multiplying headers through detail joins. The customer supplies approved scope, SAP effectivity, identifier maps and target loading.</w:t>
      </w:r>
    </w:p>
    <w:p>
      <w:r>
        <w:br w:type="page"/>
      </w:r>
    </w:p>
    <w:p>
      <w:pPr>
        <w:pStyle w:val="Heading1"/>
      </w:pPr>
      <w:r>
        <w:t>Installation and customer validation</w:t>
      </w:r>
    </w:p>
    <w:p>
      <w:r>
        <w:t>1. Record release and client. Verify source fields, complete DDIC keys, target CDS release status and authorizations against OPEN_CHECKS and DDIC_REQUIREMENTS.</w:t>
      </w:r>
    </w:p>
    <w:p>
      <w:r>
        <w:t>2. Import ECC and S4 ZIPs separately. Choose required modules and dependencies; activate in ACTIVATION_ORDER. Create optional ABAP table reports separately in SE38.</w:t>
      </w:r>
    </w:p>
    <w:p>
      <w:r>
        <w:t>3. Run customer/examples/project.json locally first. The example contains synthetic data and does not replace a SAP test. Python 3.10 or later is sufficient.</w:t>
      </w:r>
    </w:p>
    <w:p>
      <w:r>
        <w:t>4. Export UTF-8 CSV with internal keys. Preserve leading zeros. Approve cutover date, deletions and process status with the business owner.</w:t>
      </w:r>
    </w:p>
    <w:p>
      <w:r>
        <w:t>5. Populate customer/selection with the full approved keys of every structure. Validate dependent details against approved parents. Empty selection files yield no rows.</w:t>
      </w:r>
    </w:p>
    <w:p>
      <w:r>
        <w:t>6. Resolve intervals and change states first. NativeEligible comes from verified SAP evaluation. Duplicate export keys and missing approved identities stop preparation.</w:t>
      </w:r>
    </w:p>
    <w:p>
      <w:r>
        <w:t>7. Run migration_run.py with customer/customer-cohort-project.json and a new output directory. Retain audit hashes and the approved data.</w:t>
      </w:r>
    </w:p>
    <w:p>
      <w:r>
        <w:t>8. Adapt data to a supported target business interface. Retain new identifiers, errors and application logs. Do not automatically post historical reference data.</w:t>
      </w:r>
    </w:p>
    <w:p>
      <w:r>
        <w:t>9. Export the same target population using customer/target-adapters.json. Compare each relevant structure with migration_prepare.py compare and mapping/&lt;module&gt;/mapping.json.</w:t>
      </w:r>
    </w:p>
    <w:p>
      <w:r>
        <w:t>10. Reconcile amounts, quantities, signs and currencies with migration_business.py totals under a verified contract. CDS count views count unscoped candidates; acceptance uses prepared data.</w:t>
      </w:r>
    </w:p>
    <w:p>
      <w:r>
        <w:br w:type="page"/>
      </w:r>
    </w:p>
    <w:p>
      <w:pPr>
        <w:pStyle w:val="Heading1"/>
      </w:pPr>
      <w:r>
        <w:t>Domain coverage 1</w:t>
      </w:r>
    </w:p>
    <w:p>
      <w:pPr>
        <w:pStyle w:val="Heading2"/>
      </w:pPr>
      <w:r>
        <w:t>Asset Accounting</w:t>
      </w:r>
    </w:p>
    <w:p>
      <w:r>
        <w:t>Modules: fixed_asset, asset_transaction, asset_balance.</w:t>
      </w:r>
    </w:p>
    <w:p>
      <w:r>
        <w:t>Source tables: ANEP, ANLA, ANLB, ANLC, ANLZ.</w:t>
      </w:r>
    </w:p>
    <w:p>
      <w:r>
        <w:t>Depreciation areas, currencies, fiscal years and transfer dates must be agreed. ANLC values are fiscal-year accumulations, not a ready-made posting file. Asset balances must not also enter the general ledger opening balance. Asset transaction history is reconciliation reference data; Universal Parallel Accounting requires a separate supported interface assessment.</w:t>
      </w:r>
    </w:p>
    <w:p>
      <w:r>
        <w:t>Product folders: fi_aa_mig_ecc and fi_aa_mig_s4.</w:t>
      </w:r>
    </w:p>
    <w:p>
      <w:pPr>
        <w:pStyle w:val="Heading2"/>
      </w:pPr>
      <w:r>
        <w:t>Materials Management</w:t>
      </w:r>
    </w:p>
    <w:p>
      <w:r>
        <w:t>Modules: product, material_stock, goods_movement, purchase_requisition, purchase_order.</w:t>
      </w:r>
    </w:p>
    <w:p>
      <w:r>
        <w:t>Source tables: EBAN, EBKN, EKBE, EKET, EKKN, EKKO, EKPO, MAKT, MARA, MARC, MARD, MARM, MBEW, MCH1, MCHA, MCHB, MKPF, MSEG, MSKA, MSLB.</w:t>
      </w:r>
    </w:p>
    <w:p>
      <w:r>
        <w:t>Stock is a frozen, reconciled inventory population, including batch and special stock. MARD quantities alone do not establish complete inventory. Physical inventory, valuation, units and currency conversion need business sign-off. Historical goods movements are reference data. Open purchasing scope requires item status, receipts, invoices, deletion, returns and remaining quantities; it is not inferred from the header alone.</w:t>
      </w:r>
    </w:p>
    <w:p>
      <w:r>
        <w:t>Product folders: mm_mig_ecc and mm_mig_s4.</w:t>
      </w:r>
    </w:p>
    <w:p>
      <w:r>
        <w:br w:type="page"/>
      </w:r>
    </w:p>
    <w:p>
      <w:pPr>
        <w:pStyle w:val="Heading1"/>
      </w:pPr>
      <w:r>
        <w:t>Domain coverage 2</w:t>
      </w:r>
    </w:p>
    <w:p>
      <w:pPr>
        <w:pStyle w:val="Heading2"/>
      </w:pPr>
      <w:r>
        <w:t>Quality Management</w:t>
      </w:r>
    </w:p>
    <w:p>
      <w:r>
        <w:t>Modules: inspection_lot, inspection_result, quality_notification, inspection_plan.</w:t>
      </w:r>
    </w:p>
    <w:p>
      <w:r>
        <w:t>Source tables: MAPL, PLAS, PLKO, PLMK, PLPO, QALS, QAMR, QAMV, QASE, QAVE, QMEL, QMFE, QMMA, QMSM, QMUR.</w:t>
      </w:r>
    </w:p>
    <w:p>
      <w:r>
        <w:t>Lots, results and usage decisions have process and status prerequisites. Results are reference data until a supported transfer interface is selected. Inspection plans require task-list effectivity, selected operations, characteristics, sampling and material assignments; plain PLKO rows are not an effective plan. Notifications require catalogs, partners and status decisions.</w:t>
      </w:r>
    </w:p>
    <w:p>
      <w:r>
        <w:t>Product folders: qm_mig_ecc and qm_mig_s4.</w:t>
      </w:r>
    </w:p>
    <w:p>
      <w:pPr>
        <w:pStyle w:val="Heading2"/>
      </w:pPr>
      <w:r>
        <w:t>Project System</w:t>
      </w:r>
    </w:p>
    <w:p>
      <w:r>
        <w:t>Modules: project, wbs_element, project_cost.</w:t>
      </w:r>
    </w:p>
    <w:p>
      <w:r>
        <w:t>Source tables: COEP, PRHI, PROJ, PRPS.</w:t>
      </w:r>
    </w:p>
    <w:p>
      <w:r>
        <w:t>Retain both external project/WBS identifiers and internal references. Rebuild hierarchy with target key maps; do not copy internal object numbers. Project costs are reference history. Status, networks, settlement rules, budgets, commitments and investment measures require a supported business interface and separate scope agreement.</w:t>
      </w:r>
    </w:p>
    <w:p>
      <w:r>
        <w:t>Product folders: ps_mig_ecc and ps_mig_s4.</w:t>
      </w:r>
    </w:p>
    <w:p>
      <w:r>
        <w:br w:type="page"/>
      </w:r>
    </w:p>
    <w:p>
      <w:pPr>
        <w:pStyle w:val="Heading1"/>
      </w:pPr>
      <w:r>
        <w:t>Domain coverage 3</w:t>
      </w:r>
    </w:p>
    <w:p>
      <w:pPr>
        <w:pStyle w:val="Heading2"/>
      </w:pPr>
      <w:r>
        <w:t>Production Planning</w:t>
      </w:r>
    </w:p>
    <w:p>
      <w:r>
        <w:t>Modules: production_order, production_order_operation, bill_of_material, routing.</w:t>
      </w:r>
    </w:p>
    <w:p>
      <w:r>
        <w:t>Source tables: AFKO, AFPO, AFVC, AFVV, AUFK, MAPL, MAST, PLAS, PLFL, PLKO, PLPO, RESB, STAS, STKO, STPO.</w:t>
      </w:r>
    </w:p>
    <w:p>
      <w:r>
        <w:t>BOMs and routings need key date, engineering change, usage, alternative and selected-node resolution. Preserve alternative sequences and dependencies. Production orders are process references unless the chosen target interface explicitly supports their state; confirmations, goods movements and costs must not be reposted as master data.</w:t>
      </w:r>
    </w:p>
    <w:p>
      <w:r>
        <w:t>Product folders: pp_mig_ecc and pp_mig_s4.</w:t>
      </w:r>
    </w:p>
    <w:p>
      <w:pPr>
        <w:pStyle w:val="Heading2"/>
      </w:pPr>
      <w:r>
        <w:t>Controlling</w:t>
      </w:r>
    </w:p>
    <w:p>
      <w:r>
        <w:t>Modules: cost_center, profit_center, internal_order, cost_actuals, cost_element.</w:t>
      </w:r>
    </w:p>
    <w:p>
      <w:r>
        <w:t>Source tables: AUFK, CEPC, CEPCT, COBRB, COEP, CSKA, CSKB, CSKS, CSKT.</w:t>
      </w:r>
    </w:p>
    <w:p>
      <w:r>
        <w:t>Resolve time intervals at cutover and map controlling areas, cost centers, profit centers and order numbers. Cost elements integrate with S/4HANA G/L accounts. COEP is source history, not a target Universal Journal posting template. Plan data, allocations, settlement and commitments require additional interface scope.</w:t>
      </w:r>
    </w:p>
    <w:p>
      <w:r>
        <w:t>Product folders: co_mig_ecc and co_mig_s4.</w:t>
      </w:r>
    </w:p>
    <w:p>
      <w:r>
        <w:br w:type="page"/>
      </w:r>
    </w:p>
    <w:p>
      <w:pPr>
        <w:pStyle w:val="Heading1"/>
      </w:pPr>
      <w:r>
        <w:t>Domain coverage 4</w:t>
      </w:r>
    </w:p>
    <w:p>
      <w:pPr>
        <w:pStyle w:val="Heading2"/>
      </w:pPr>
      <w:r>
        <w:t>Financial Accounting</w:t>
      </w:r>
    </w:p>
    <w:p>
      <w:r>
        <w:t>Modules: gl_account, supplier, customer, gl_line_item, open_items.</w:t>
      </w:r>
    </w:p>
    <w:p>
      <w:r>
        <w:t>Source tables: BKPF, BSAD, BSAK, BSAS, BSEG, BSID, BSIK, BSIS, KNA1, KNB1, KNVV, LFA1, LFB1, LFM1, SKA1, SKAT, SKB1.</w:t>
      </w:r>
    </w:p>
    <w:p>
      <w:r>
        <w:t>Customers and suppliers require Business Partner/CVI mapping, roles and numbering. FI BSEG may be a cluster table in ECC and therefore cannot be assumed readable by CDS; use the full-row ABAP helper or a verified extraction interface when necessary. Open-at-cutover means posted by cutover and not cleared by cutover, including subsequently cleared items. Separate currencies, debit/credit signs, ledgers and fiscal periods; prevent double-counting subledger openings in G/L balances.</w:t>
      </w:r>
    </w:p>
    <w:p>
      <w:r>
        <w:t>Product folders: fi_mig_ecc and fi_mig_s4.</w:t>
      </w:r>
    </w:p>
    <w:p>
      <w:pPr>
        <w:pStyle w:val="Heading2"/>
      </w:pPr>
      <w:r>
        <w:t>Sales and Distribution</w:t>
      </w:r>
    </w:p>
    <w:p>
      <w:r>
        <w:t>Modules: sales_order, outbound_delivery, billing_document.</w:t>
      </w:r>
    </w:p>
    <w:p>
      <w:r>
        <w:t>Source tables: LIKP, LIPS, VBAK, VBAP, VBEP, VBFA, VBKD, VBPA, VBRK, VBRP, VBUK, VBUP.</w:t>
      </w:r>
    </w:p>
    <w:p>
      <w:r>
        <w:t>Open sales scope must resolve item rejection, delivery and billing status, document flow and remaining quantities. Historical deliveries and billing documents are reference data; recreating them can trigger accounting or logistics. Partners, pricing, texts and tax need explicit target interfaces and agreed key maps. Do not infer open status from VBAK alone.</w:t>
      </w:r>
    </w:p>
    <w:p>
      <w:r>
        <w:t>Product folders: sd_mig_ecc and sd_mig_s4.</w:t>
      </w:r>
    </w:p>
    <w:p>
      <w:pPr>
        <w:pStyle w:val="Heading2"/>
      </w:pPr>
      <w:r>
        <w:t>Acceptance and further references</w:t>
      </w:r>
    </w:p>
    <w:p>
      <w:r>
        <w:t>Test permitted and restricted users, Unicode, duplicate keys, changed identifiers, missing records and rejected postings. Equal row counts are insufficient. Record SAP releases, transports, hashes, business reconciliation and unresolved findings. LICENSE.md permits unlimited use and modification and prohibits standalone resale.</w:t>
      </w:r>
    </w:p>
    <w:p>
      <w:r>
        <w:t>Further detail: CUSTOMER_MANUAL_EN.md and CUSTOMER_MANUAL_DE.md, mapping, CUSTOMER_TEST.md, CROSS_DOMAIN_PREREQUISITES.md and ModuPorter-Domains-VDM.html. EWM, TM, FSCM, EHS and industry candidates remain feasibility items without defined packages.</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ModuPorter SAP Domain Migration Handbook</dc:title>
  <dc:subject/>
  <dc:creator>KAOURI INNOVATECH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