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ModuPorter EAM Migrationstemplates Kundenhandbuch</w:t>
      </w:r>
    </w:p>
    <w:p>
      <w:r>
        <w:t>Version 1.0.0 | KAOURI INNOVATECH</w:t>
      </w:r>
    </w:p>
    <w:p>
      <w:r>
        <w:t>Dieses Handbuch erklärt Installation, modulare Auswahl, Extraktion und Vergleich der gelieferten Migrationstemplates. Jedes Paket enthält separate SOURCE- und TARGET-Archive. Die Geschäftsobjekte werden über die kundenseitig gewählte SAP-Schnittstelle angelegt.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2324"/>
        <w:gridCol w:w="2324"/>
        <w:gridCol w:w="2324"/>
      </w:tblGrid>
      <w:tr>
        <w:trPr>
          <w:tblHeader/>
          <w:cantSplit/>
        </w:trPr>
        <w:tc>
          <w:tcPr>
            <w:tcW w:type="dxa" w:w="2891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Paket</w:t>
            </w:r>
          </w:p>
        </w:tc>
        <w:tc>
          <w:tcPr>
            <w:tcW w:type="dxa" w:w="2324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Strukturen</w:t>
            </w:r>
          </w:p>
        </w:tc>
        <w:tc>
          <w:tcPr>
            <w:tcW w:type="dxa" w:w="2324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Quellviews</w:t>
            </w:r>
          </w:p>
        </w:tc>
        <w:tc>
          <w:tcPr>
            <w:tcW w:type="dxa" w:w="2324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Zielviews</w:t>
            </w:r>
          </w:p>
        </w:tc>
      </w:tr>
      <w:tr>
        <w:trPr>
          <w:cantSplit/>
        </w:trPr>
        <w:tc>
          <w:tcPr>
            <w:tcW w:type="dxa" w:w="289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EAM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158</w:t>
            </w:r>
          </w:p>
        </w:tc>
        <w:tc>
          <w:tcPr>
            <w:tcW w:type="dxa" w:w="2324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</w:tr>
    </w:tbl>
    <w:p/>
    <w:p>
      <w:pPr>
        <w:pStyle w:val="Heading2"/>
      </w:pPr>
      <w:r>
        <w:t>Architektur</w:t>
      </w:r>
    </w:p>
    <w:p>
      <w:r>
        <w:t>SAP table → B_ Basic → I_ Interface → C_ Consumption</w:t>
      </w:r>
    </w:p>
    <w:p>
      <w:r>
        <w:t>Basic liest native Tabellen und erhält deren Datengranularität. Composite bildet fachliche Spalten und Verknüpfungen. Consumption liefert die dokumentierten Exportstrukturen. Zielviews und CSV-Verträge dienen dem Vergleich derselben Population.</w:t>
      </w:r>
    </w:p>
    <w:p>
      <w:pPr>
        <w:pStyle w:val="Heading2"/>
      </w:pPr>
      <w:r>
        <w:t>Lieferumfang</w:t>
      </w:r>
    </w:p>
    <w:p>
      <w:r>
        <w:t>Enthalten sind CDS-Quellen, abapGit-Metadaten, Feldzuordnungen, Aktivierungsreihenfolge, Umfangsbeschreibung, Lizenz und VDM-Karte. Python-Werkzeuge unterstützen Auswahl und Vergleich. Optionale ABAP-Berichte werden separat in SE38 angelegt.</w:t>
      </w:r>
    </w:p>
    <w:p>
      <w:r>
        <w:t>Die Lizenz erlaubt unbegrenzte Nutzung und Änderung für eigene und Kundenimplementierungen. Ein Weiterverkauf der Templatebibliothek ist ausgeschlossen. Maßgeblich ist docs/LICENSE.md.</w:t>
      </w:r>
    </w:p>
    <w:p>
      <w:r>
        <w:br w:type="page"/>
      </w:r>
    </w:p>
    <w:p>
      <w:pPr>
        <w:pStyle w:val="Heading1"/>
      </w:pPr>
      <w:r>
        <w:t>Installation und Nutzung</w:t>
      </w:r>
    </w:p>
    <w:p>
      <w:r>
        <w:t>1. SOURCE und TARGET entpacken und getrennt in das jeweilige SAP-System importieren. Der äußere Kundenpaket-ZIP ist kein direkter abapGit-Import.</w:t>
      </w:r>
    </w:p>
    <w:p>
      <w:r>
        <w:t>2. In abapGit New Offline wählen, ein Kundenpaket zuordnen, Import ZIP und Pull ZIP ausführen. ACTIVATION_ORDER.txt befolgen.</w:t>
      </w:r>
    </w:p>
    <w:p>
      <w:r>
        <w:t>3. Tabellen, Standardviews, ABAP-Stack und Berechtigungen müssen den Anforderungen in docs/COMPATIBILITY.md entsprechen. Keine DCL enthalten; den verwendeten Extraktionskanal gezielt berechtigen.</w:t>
      </w:r>
    </w:p>
    <w:p>
      <w:r>
        <w:t>4. Consumption mit den gelieferten Spaltennamen exportieren. Führende Nullen, interne Schlüssel, Einheiten und Währungen erhalten.</w:t>
      </w:r>
    </w:p>
    <w:p>
      <w:r>
        <w:t>5. Freigegebene Schlüssel in customer/selection eintragen. Leere Auswahl erzeugt null Datensätze. Python 3.10 oder neuer auf dem Arbeitsplatz verwenden.</w:t>
      </w:r>
    </w:p>
    <w:p>
      <w:r>
        <w:t>6. Identifikatoren und neu erzeugte UUIDs anhand einer separaten Zuordnung abgleichen. Zielpopulation und Quellpopulation gleich abgrenzen.</w:t>
      </w:r>
    </w:p>
    <w:p>
      <w:r>
        <w:t>7. Die Erstellung von Zielobjekten, Transaktionen und Fehlerbehandlung über eine geeignete SAP-API oder BAPI umsetzen. Keine direkten Schreibzugriffe auf Anwendungstabellen.</w:t>
      </w:r>
    </w:p>
    <w:p>
      <w:pPr>
        <w:pStyle w:val="Heading2"/>
      </w:pPr>
      <w:r>
        <w:t>Modulare Auswahl</w:t>
      </w:r>
    </w:p>
    <w:p>
      <w:r>
        <w:t>python build_package.py --product eam_mig_ecc equipment --out source.zip</w:t>
      </w:r>
    </w:p>
    <w:p>
      <w:r>
        <w:t>Der Builder läuft im GitHub-Checkout auf dem Arbeitsplatz und ergänzt erforderliche Module automatisch. Für das gesamte Produkt --all statt des Modulnamens verwenden. Ein einzelner View benötigt sämtliche referenzierten Views.</w:t>
      </w:r>
    </w:p>
    <w:p>
      <w:r>
        <w:br w:type="page"/>
      </w:r>
    </w:p>
    <w:p>
      <w:pPr>
        <w:pStyle w:val="Heading1"/>
      </w:pPr>
      <w:r>
        <w:t>Umfang und fachliche Regeln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13"/>
        <w:gridCol w:w="2551"/>
      </w:tblGrid>
      <w:tr>
        <w:trPr>
          <w:tblHeader/>
          <w:cantSplit/>
        </w:trPr>
        <w:tc>
          <w:tcPr>
            <w:tcW w:type="dxa" w:w="7313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Modul</w:t>
            </w:r>
          </w:p>
        </w:tc>
        <w:tc>
          <w:tcPr>
            <w:tcW w:type="dxa" w:w="2551"/>
            <w:shd w:fill="273D50"/>
          </w:tcPr>
          <w:p>
            <w:pPr>
              <w:spacing w:after="80" w:before="80"/>
            </w:pPr>
            <w:r>
              <w:rPr>
                <w:b/>
                <w:color w:val="FFFFFF"/>
                <w:sz w:val="20"/>
              </w:rPr>
              <w:t>Views</w:t>
            </w:r>
          </w:p>
        </w:tc>
      </w:tr>
      <w:tr>
        <w:trPr>
          <w:cantSplit/>
        </w:trPr>
        <w:tc>
          <w:tcPr>
            <w:tcW w:type="dxa" w:w="7313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classification</w:t>
            </w:r>
          </w:p>
        </w:tc>
        <w:tc>
          <w:tcPr>
            <w:tcW w:type="dxa" w:w="255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731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core</w:t>
            </w:r>
          </w:p>
        </w:tc>
        <w:tc>
          <w:tcPr>
            <w:tcW w:type="dxa" w:w="255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7313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equipment</w:t>
            </w:r>
          </w:p>
        </w:tc>
        <w:tc>
          <w:tcPr>
            <w:tcW w:type="dxa" w:w="255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731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equipment_bom</w:t>
            </w:r>
          </w:p>
        </w:tc>
        <w:tc>
          <w:tcPr>
            <w:tcW w:type="dxa" w:w="255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7313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functional_location</w:t>
            </w:r>
          </w:p>
        </w:tc>
        <w:tc>
          <w:tcPr>
            <w:tcW w:type="dxa" w:w="255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731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long_text</w:t>
            </w:r>
          </w:p>
        </w:tc>
        <w:tc>
          <w:tcPr>
            <w:tcW w:type="dxa" w:w="255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313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maintenance_notification</w:t>
            </w:r>
          </w:p>
        </w:tc>
        <w:tc>
          <w:tcPr>
            <w:tcW w:type="dxa" w:w="255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17</w:t>
            </w:r>
          </w:p>
        </w:tc>
      </w:tr>
      <w:tr>
        <w:trPr>
          <w:cantSplit/>
        </w:trPr>
        <w:tc>
          <w:tcPr>
            <w:tcW w:type="dxa" w:w="731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maintenance_order</w:t>
            </w:r>
          </w:p>
        </w:tc>
        <w:tc>
          <w:tcPr>
            <w:tcW w:type="dxa" w:w="255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7313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maintenance_plan</w:t>
            </w:r>
          </w:p>
        </w:tc>
        <w:tc>
          <w:tcPr>
            <w:tcW w:type="dxa" w:w="255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731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measurement_document</w:t>
            </w:r>
          </w:p>
        </w:tc>
        <w:tc>
          <w:tcPr>
            <w:tcW w:type="dxa" w:w="255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7313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measuring_point</w:t>
            </w:r>
          </w:p>
        </w:tc>
        <w:tc>
          <w:tcPr>
            <w:tcW w:type="dxa" w:w="255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731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object_partner</w:t>
            </w:r>
          </w:p>
        </w:tc>
        <w:tc>
          <w:tcPr>
            <w:tcW w:type="dxa" w:w="255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313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object_status</w:t>
            </w:r>
          </w:p>
        </w:tc>
        <w:tc>
          <w:tcPr>
            <w:tcW w:type="dxa" w:w="255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731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task_list</w:t>
            </w:r>
          </w:p>
        </w:tc>
        <w:tc>
          <w:tcPr>
            <w:tcW w:type="dxa" w:w="2551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27</w:t>
            </w:r>
          </w:p>
        </w:tc>
      </w:tr>
      <w:tr>
        <w:trPr>
          <w:cantSplit/>
        </w:trPr>
        <w:tc>
          <w:tcPr>
            <w:tcW w:type="dxa" w:w="7313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work_center</w:t>
            </w:r>
          </w:p>
        </w:tc>
        <w:tc>
          <w:tcPr>
            <w:tcW w:type="dxa" w:w="2551"/>
            <w:shd w:fill="F2F5F7"/>
          </w:tcPr>
          <w:p>
            <w:pPr>
              <w:spacing w:after="80" w:before="80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</w:tr>
    </w:tbl>
    <w:p/>
    <w:p>
      <w:r>
        <w:t>Equipment enthält gemeinsame Referenzen und Arbeitsplatzabhängigkeiten. Texte erhalten ihre Sprachschlüssel. Langtexte werden über READ_TEXT gelesen; komprimierte Inhalte sind keine CDS-Zeilen. Historische Stichtage, Änderungsstände und freigegebene technische Objektpopulationen richten sich nach docs/CUSTOMER_WORKFLOW.md.</w:t>
      </w:r>
    </w:p>
    <w:p>
      <w:r>
        <w:t>Vollständige Modul- und Feldlisten stehen in docs/SUPPORTED_SCOPE.md, mapping und FIELD_CATALOG.csv. VDM.html zeigt die Objektabhängigkeiten. Die Templates enthalten keine automatische Buchungsimplementierung und keine Zusage zur Abdeckung jeder SAP-Funktion.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ModuPorter EAM Migrationstemplates Kundenhandbuch</dc:title>
  <dc:subject/>
  <dc:creator>KAOURI INNOVATECH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