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41</w:t>
            </w:r>
          </w:p>
        </w:tc>
        <w:tc>
          <w:tcPr>
            <w:tcW w:type="dxa" w:w="2324"/>
            <w:shd w:fill="F2F5F7"/>
          </w:tcPr>
          <w:p>
            <w:pPr>
              <w:spacing w:after="80" w:before="80"/>
            </w:pPr>
            <w:r>
              <w:rPr>
                <w:b w:val="0"/>
                <w:color w:val="000000"/>
                <w:sz w:val="20"/>
              </w:rPr>
              <w:t>158</w:t>
            </w:r>
          </w:p>
        </w:tc>
        <w:tc>
          <w:tcPr>
            <w:tcW w:type="dxa" w:w="2324"/>
            <w:shd w:fill="F2F5F7"/>
          </w:tcPr>
          <w:p>
            <w:pPr>
              <w:spacing w:after="80" w:before="80"/>
            </w:pPr>
            <w:r>
              <w:rPr>
                <w:b w:val="0"/>
                <w:color w:val="000000"/>
                <w:sz w:val="20"/>
              </w:rPr>
              <w:t>16</w:t>
            </w:r>
          </w:p>
        </w:tc>
      </w:tr>
    </w:tbl>
    <w:p/>
    <w:p>
      <w:pPr>
        <w:pStyle w:val="Heading2"/>
      </w:pPr>
      <w:r>
        <w:t>Architecture</w:t>
      </w:r>
    </w:p>
    <w:p>
      <w:r>
        <w:t>SAP table → B_ Basic → I_ Interface → C_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6</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10</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9</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17</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19</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11</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4</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27</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15</w:t>
            </w:r>
          </w:p>
        </w:tc>
      </w:tr>
    </w:tbl>
    <w:p/>
    <w:p>
      <w:r>
        <w:t>Equipment includes shared references and work-center dependencies. Texts retain their language keys. Long text is read through READ_TEXT; compressed contents are not CDS rows. Historical cutover, change states and approved technical-object populations follow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