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ModuPorter EWM TM FSCM EHS Migrationshandbuch</w:t>
      </w:r>
    </w:p>
    <w:p>
      <w:r>
        <w:t>Version 0.1.0  |  11. Oktober 2026</w:t>
      </w:r>
    </w:p>
    <w:p>
      <w:r>
        <w:t>Die vier Pakete liefern kanonische Exportverträge, kundeneigene Stagingtabellen, geschichtete CDS Views und Werkzeuge für Aufbereitung und Abgleich. Native SAP Leseadapter und Geschäftsobjektbeladung müssen für die konkrete Anwendung implementiert werden. Kein Objekt wurde in SAP aktiviert oder durch eine Beladung getestet.</w:t>
      </w:r>
    </w:p>
    <w:tbl>
      <w:tblPr>
        <w:tblW w:type="auto" w:w="0"/>
        <w:tblLayout w:type="fixed"/>
        <w:tblLook w:firstColumn="1" w:firstRow="1" w:lastColumn="0" w:lastRow="0" w:noHBand="0" w:noVBand="1" w:val="04A0"/>
      </w:tblPr>
      <w:tblGrid>
        <w:gridCol w:w="4139"/>
        <w:gridCol w:w="1134"/>
        <w:gridCol w:w="1417"/>
        <w:gridCol w:w="1134"/>
        <w:gridCol w:w="1134"/>
      </w:tblGrid>
      <w:tr>
        <w:trPr>
          <w:tblHeader/>
          <w:cantSplit/>
        </w:trPr>
        <w:tc>
          <w:tcPr>
            <w:tcW w:type="dxa" w:w="4139"/>
            <w:tcBorders>
              <w:top w:val="single" w:sz="4" w:color="D9D9D9"/>
              <w:left w:val="single" w:sz="4" w:color="D9D9D9"/>
              <w:bottom w:val="single" w:sz="4" w:color="D9D9D9"/>
              <w:right w:val="single" w:sz="4" w:color="D9D9D9"/>
            </w:tcBorders>
            <w:shd w:fill="273D50"/>
            <w:tcMar>
              <w:top w:w="90" w:type="dxa"/>
              <w:left w:w="90" w:type="dxa"/>
              <w:bottom w:w="90" w:type="dxa"/>
              <w:right w:w="90" w:type="dxa"/>
            </w:tcMar>
          </w:tcPr>
          <w:p>
            <w:pPr>
              <w:spacing w:after="0"/>
            </w:pPr>
            <w:r>
              <w:rPr>
                <w:b/>
                <w:color w:val="FFFFFF"/>
                <w:sz w:val="20"/>
              </w:rPr>
              <w:t>Domäne</w:t>
            </w:r>
          </w:p>
        </w:tc>
        <w:tc>
          <w:tcPr>
            <w:tcW w:type="dxa" w:w="1134"/>
            <w:tcBorders>
              <w:top w:val="single" w:sz="4" w:color="D9D9D9"/>
              <w:left w:val="single" w:sz="4" w:color="D9D9D9"/>
              <w:bottom w:val="single" w:sz="4" w:color="D9D9D9"/>
              <w:right w:val="single" w:sz="4" w:color="D9D9D9"/>
            </w:tcBorders>
            <w:shd w:fill="273D50"/>
            <w:tcMar>
              <w:top w:w="90" w:type="dxa"/>
              <w:left w:w="90" w:type="dxa"/>
              <w:bottom w:w="90" w:type="dxa"/>
              <w:right w:w="90" w:type="dxa"/>
            </w:tcMar>
          </w:tcPr>
          <w:p>
            <w:pPr>
              <w:spacing w:after="0"/>
            </w:pPr>
            <w:r>
              <w:rPr>
                <w:b/>
                <w:color w:val="FFFFFF"/>
                <w:sz w:val="20"/>
              </w:rPr>
              <w:t>Module</w:t>
            </w:r>
          </w:p>
        </w:tc>
        <w:tc>
          <w:tcPr>
            <w:tcW w:type="dxa" w:w="1417"/>
            <w:tcBorders>
              <w:top w:val="single" w:sz="4" w:color="D9D9D9"/>
              <w:left w:val="single" w:sz="4" w:color="D9D9D9"/>
              <w:bottom w:val="single" w:sz="4" w:color="D9D9D9"/>
              <w:right w:val="single" w:sz="4" w:color="D9D9D9"/>
            </w:tcBorders>
            <w:shd w:fill="273D50"/>
            <w:tcMar>
              <w:top w:w="90" w:type="dxa"/>
              <w:left w:w="90" w:type="dxa"/>
              <w:bottom w:w="90" w:type="dxa"/>
              <w:right w:w="90" w:type="dxa"/>
            </w:tcMar>
          </w:tcPr>
          <w:p>
            <w:pPr>
              <w:spacing w:after="0"/>
            </w:pPr>
            <w:r>
              <w:rPr>
                <w:b/>
                <w:color w:val="FFFFFF"/>
                <w:sz w:val="20"/>
              </w:rPr>
              <w:t>Strukturen</w:t>
            </w:r>
          </w:p>
        </w:tc>
        <w:tc>
          <w:tcPr>
            <w:tcW w:type="dxa" w:w="1134"/>
            <w:tcBorders>
              <w:top w:val="single" w:sz="4" w:color="D9D9D9"/>
              <w:left w:val="single" w:sz="4" w:color="D9D9D9"/>
              <w:bottom w:val="single" w:sz="4" w:color="D9D9D9"/>
              <w:right w:val="single" w:sz="4" w:color="D9D9D9"/>
            </w:tcBorders>
            <w:shd w:fill="273D50"/>
            <w:tcMar>
              <w:top w:w="90" w:type="dxa"/>
              <w:left w:w="90" w:type="dxa"/>
              <w:bottom w:w="90" w:type="dxa"/>
              <w:right w:w="90" w:type="dxa"/>
            </w:tcMar>
          </w:tcPr>
          <w:p>
            <w:pPr>
              <w:spacing w:after="0"/>
            </w:pPr>
            <w:r>
              <w:rPr>
                <w:b/>
                <w:color w:val="FFFFFF"/>
                <w:sz w:val="20"/>
              </w:rPr>
              <w:t>Quelle</w:t>
            </w:r>
          </w:p>
        </w:tc>
        <w:tc>
          <w:tcPr>
            <w:tcW w:type="dxa" w:w="1134"/>
            <w:tcBorders>
              <w:top w:val="single" w:sz="4" w:color="D9D9D9"/>
              <w:left w:val="single" w:sz="4" w:color="D9D9D9"/>
              <w:bottom w:val="single" w:sz="4" w:color="D9D9D9"/>
              <w:right w:val="single" w:sz="4" w:color="D9D9D9"/>
            </w:tcBorders>
            <w:shd w:fill="273D50"/>
            <w:tcMar>
              <w:top w:w="90" w:type="dxa"/>
              <w:left w:w="90" w:type="dxa"/>
              <w:bottom w:w="90" w:type="dxa"/>
              <w:right w:w="90" w:type="dxa"/>
            </w:tcMar>
          </w:tcPr>
          <w:p>
            <w:pPr>
              <w:spacing w:after="0"/>
            </w:pPr>
            <w:r>
              <w:rPr>
                <w:b/>
                <w:color w:val="FFFFFF"/>
                <w:sz w:val="20"/>
              </w:rPr>
              <w:t>Ziel</w:t>
            </w:r>
          </w:p>
        </w:tc>
      </w:tr>
      <w:tr>
        <w:trPr>
          <w:cantSplit/>
        </w:trPr>
        <w:tc>
          <w:tcPr>
            <w:tcW w:type="dxa" w:w="4139"/>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pPr>
            <w:r>
              <w:rPr>
                <w:b w:val="0"/>
                <w:color w:val="000000"/>
                <w:sz w:val="20"/>
              </w:rPr>
              <w:t>Erweiterte Lagerverwaltung</w:t>
            </w:r>
          </w:p>
        </w:tc>
        <w:tc>
          <w:tcPr>
            <w:tcW w:type="dxa" w:w="1134"/>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pPr>
            <w:r>
              <w:rPr>
                <w:b w:val="0"/>
                <w:color w:val="000000"/>
                <w:sz w:val="20"/>
              </w:rPr>
              <w:t>8</w:t>
            </w:r>
          </w:p>
        </w:tc>
        <w:tc>
          <w:tcPr>
            <w:tcW w:type="dxa" w:w="1417"/>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pPr>
            <w:r>
              <w:rPr>
                <w:b w:val="0"/>
                <w:color w:val="000000"/>
                <w:sz w:val="20"/>
              </w:rPr>
              <w:t>16</w:t>
            </w:r>
          </w:p>
        </w:tc>
        <w:tc>
          <w:tcPr>
            <w:tcW w:type="dxa" w:w="1134"/>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pPr>
            <w:r>
              <w:rPr>
                <w:b w:val="0"/>
                <w:color w:val="000000"/>
                <w:sz w:val="20"/>
              </w:rPr>
              <w:t>56</w:t>
            </w:r>
          </w:p>
        </w:tc>
        <w:tc>
          <w:tcPr>
            <w:tcW w:type="dxa" w:w="1134"/>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pPr>
            <w:r>
              <w:rPr>
                <w:b w:val="0"/>
                <w:color w:val="000000"/>
                <w:sz w:val="20"/>
              </w:rPr>
              <w:t>24</w:t>
            </w:r>
          </w:p>
        </w:tc>
      </w:tr>
      <w:tr>
        <w:trPr>
          <w:cantSplit/>
        </w:trPr>
        <w:tc>
          <w:tcPr>
            <w:tcW w:type="dxa" w:w="4139"/>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pPr>
            <w:r>
              <w:rPr>
                <w:b w:val="0"/>
                <w:color w:val="000000"/>
                <w:sz w:val="20"/>
              </w:rPr>
              <w:t>Transportmanagement</w:t>
            </w:r>
          </w:p>
        </w:tc>
        <w:tc>
          <w:tcPr>
            <w:tcW w:type="dxa" w:w="113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pPr>
            <w:r>
              <w:rPr>
                <w:b w:val="0"/>
                <w:color w:val="000000"/>
                <w:sz w:val="20"/>
              </w:rPr>
              <w:t>8</w:t>
            </w:r>
          </w:p>
        </w:tc>
        <w:tc>
          <w:tcPr>
            <w:tcW w:type="dxa" w:w="1417"/>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pPr>
            <w:r>
              <w:rPr>
                <w:b w:val="0"/>
                <w:color w:val="000000"/>
                <w:sz w:val="20"/>
              </w:rPr>
              <w:t>19</w:t>
            </w:r>
          </w:p>
        </w:tc>
        <w:tc>
          <w:tcPr>
            <w:tcW w:type="dxa" w:w="113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pPr>
            <w:r>
              <w:rPr>
                <w:b w:val="0"/>
                <w:color w:val="000000"/>
                <w:sz w:val="20"/>
              </w:rPr>
              <w:t>65</w:t>
            </w:r>
          </w:p>
        </w:tc>
        <w:tc>
          <w:tcPr>
            <w:tcW w:type="dxa" w:w="113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pPr>
            <w:r>
              <w:rPr>
                <w:b w:val="0"/>
                <w:color w:val="000000"/>
                <w:sz w:val="20"/>
              </w:rPr>
              <w:t>27</w:t>
            </w:r>
          </w:p>
        </w:tc>
      </w:tr>
      <w:tr>
        <w:trPr>
          <w:cantSplit/>
        </w:trPr>
        <w:tc>
          <w:tcPr>
            <w:tcW w:type="dxa" w:w="4139"/>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pPr>
            <w:r>
              <w:rPr>
                <w:b w:val="0"/>
                <w:color w:val="000000"/>
                <w:sz w:val="20"/>
              </w:rPr>
              <w:t>Finanzielles Supply Chain Management</w:t>
            </w:r>
          </w:p>
        </w:tc>
        <w:tc>
          <w:tcPr>
            <w:tcW w:type="dxa" w:w="1134"/>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pPr>
            <w:r>
              <w:rPr>
                <w:b w:val="0"/>
                <w:color w:val="000000"/>
                <w:sz w:val="20"/>
              </w:rPr>
              <w:t>7</w:t>
            </w:r>
          </w:p>
        </w:tc>
        <w:tc>
          <w:tcPr>
            <w:tcW w:type="dxa" w:w="1417"/>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pPr>
            <w:r>
              <w:rPr>
                <w:b w:val="0"/>
                <w:color w:val="000000"/>
                <w:sz w:val="20"/>
              </w:rPr>
              <w:t>14</w:t>
            </w:r>
          </w:p>
        </w:tc>
        <w:tc>
          <w:tcPr>
            <w:tcW w:type="dxa" w:w="1134"/>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pPr>
            <w:r>
              <w:rPr>
                <w:b w:val="0"/>
                <w:color w:val="000000"/>
                <w:sz w:val="20"/>
              </w:rPr>
              <w:t>49</w:t>
            </w:r>
          </w:p>
        </w:tc>
        <w:tc>
          <w:tcPr>
            <w:tcW w:type="dxa" w:w="1134"/>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0"/>
            </w:pPr>
            <w:r>
              <w:rPr>
                <w:b w:val="0"/>
                <w:color w:val="000000"/>
                <w:sz w:val="20"/>
              </w:rPr>
              <w:t>21</w:t>
            </w:r>
          </w:p>
        </w:tc>
      </w:tr>
      <w:tr>
        <w:trPr>
          <w:cantSplit/>
        </w:trPr>
        <w:tc>
          <w:tcPr>
            <w:tcW w:type="dxa" w:w="4139"/>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pPr>
            <w:r>
              <w:rPr>
                <w:b w:val="0"/>
                <w:color w:val="000000"/>
                <w:sz w:val="20"/>
              </w:rPr>
              <w:t>Umwelt Gesundheit und Sicherheit</w:t>
            </w:r>
          </w:p>
        </w:tc>
        <w:tc>
          <w:tcPr>
            <w:tcW w:type="dxa" w:w="113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pPr>
            <w:r>
              <w:rPr>
                <w:b w:val="0"/>
                <w:color w:val="000000"/>
                <w:sz w:val="20"/>
              </w:rPr>
              <w:t>9</w:t>
            </w:r>
          </w:p>
        </w:tc>
        <w:tc>
          <w:tcPr>
            <w:tcW w:type="dxa" w:w="1417"/>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pPr>
            <w:r>
              <w:rPr>
                <w:b w:val="0"/>
                <w:color w:val="000000"/>
                <w:sz w:val="20"/>
              </w:rPr>
              <w:t>23</w:t>
            </w:r>
          </w:p>
        </w:tc>
        <w:tc>
          <w:tcPr>
            <w:tcW w:type="dxa" w:w="113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pPr>
            <w:r>
              <w:rPr>
                <w:b w:val="0"/>
                <w:color w:val="000000"/>
                <w:sz w:val="20"/>
              </w:rPr>
              <w:t>78</w:t>
            </w:r>
          </w:p>
        </w:tc>
        <w:tc>
          <w:tcPr>
            <w:tcW w:type="dxa" w:w="113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0"/>
            </w:pPr>
            <w:r>
              <w:rPr>
                <w:b w:val="0"/>
                <w:color w:val="000000"/>
                <w:sz w:val="20"/>
              </w:rPr>
              <w:t>32</w:t>
            </w:r>
          </w:p>
        </w:tc>
      </w:tr>
    </w:tbl>
    <w:p/>
    <w:p>
      <w:r>
        <w:t>Insgesamt 32 Module, 72 Strukturen, 726 kanonische Felder, 352 CDS Views und 144 kundeneigene Stagingtabellen. Tabellenwerte sind Text, damit interne Kennungen und Dezimaldarstellungen erhalten bleiben. Währungs- und Mengensemantik muss fachlich bestätigt werden.</w:t>
      </w:r>
    </w:p>
    <w:p>
      <w:pPr>
        <w:pStyle w:val="Heading2"/>
      </w:pPr>
      <w:r>
        <w:t>Architektur und Nachweis</w:t>
      </w:r>
    </w:p>
    <w:p>
      <w:r>
        <w:t>Native Quelle → kanonischer Export → freigegebene Auswahl → Kundenstaging → Basic → Composite → Consumption. Ziel-CDS Views lesen ausschließlich bereitgestellte Stagingnachweise. Gleiche Stagingdateien bestätigen keine erfolgreiche Geschäftsobjektmigration. Lokale Prüfungen sind keine SAP Zertifizierung.</w:t>
      </w:r>
    </w:p>
    <w:p>
      <w:r>
        <w:br w:type="page"/>
      </w:r>
    </w:p>
    <w:p>
      <w:pPr>
        <w:pStyle w:val="Heading1"/>
      </w:pPr>
      <w:r>
        <w:t>Installation und Kundenprüfung</w:t>
      </w:r>
    </w:p>
    <w:p>
      <w:r>
        <w:t>1. Quell- und Zielanwendung sowie Release auswählen. Native Leseadapter und Geschäftsschnittstellen freigeben; die gelieferten JSON Verträge sind keine SAP Konnektoren.</w:t>
      </w:r>
    </w:p>
    <w:p>
      <w:r>
        <w:t>2. Kanonische UTF-8 CSV gemäß customer/headers erzeugen. Interne Kennungen, führende Nullen, Währungen, Einheiten und Zeitpunkte erhalten.</w:t>
      </w:r>
    </w:p>
    <w:p>
      <w:r>
        <w:t>3. SourceSystem, SourceClient und ExportBatch kennzeichnen die Ursprungspopulation. Auch Zielnachweise verwenden diese Kennungen. Geänderte Zielnummern auf Quellschlüssel abbilden und separat protokollieren.</w:t>
      </w:r>
    </w:p>
    <w:p>
      <w:r>
        <w:t>4. Fachlichen Stichtag, Status und Eltern-/Kindbeziehungen prüfen. Vollständige freigegebene Schlüssel in customer/selection eintragen. Leere Auswahl erzeugt null Zeilen.</w:t>
      </w:r>
    </w:p>
    <w:p>
      <w:r>
        <w:t>5. customer/examples/project.json zuerst lokal mit migration_run.py ausführen. Künstliche Beispiele zeigen Datenformat und Werkzeuge, keine gültigen SAP Ladebelege.</w:t>
      </w:r>
    </w:p>
    <w:p>
      <w:r>
        <w:t>6. Ausgewählte Daten mit migration_stage.py vorbereiten. Spalten, Schlüssel, Feldlängen und Herkunft werden geprüft; stage.tsv und Hash-Audit werden erzeugt.</w:t>
      </w:r>
    </w:p>
    <w:p>
      <w:r>
        <w:t>7. Quell-/Ziel-ZIP getrennt importieren. Tabellen vor Views gemäß ACTIVATION_ORDER aktivieren. Berichte in SE38 separat anlegen. Der Stagingimport simuliert standardmäßig und ändert keine Geschäftsobjekttabellen.</w:t>
      </w:r>
    </w:p>
    <w:p>
      <w:r>
        <w:t>8. GUI UTF-8, Tabulatoren, leere Endfelder, Duplikate, Rollback und eingeschränkte Benutzer in SAP testen. Stagingexport mit --physical normalisieren; DDIC Vorprüfung bestätigt nur Stagingmetadaten.</w:t>
      </w:r>
    </w:p>
    <w:p>
      <w:r>
        <w:t>9. Freigegebene Daten über eine unterstützte Geschäftsobjektschnittstelle laden. Prozesshistorie nicht automatisch buchen. Zielbelege nativ exportieren und dieselbe Population mit migration_prepare.py compare vergleichen.</w:t>
      </w:r>
    </w:p>
    <w:p>
      <w:r>
        <w:t>10. Beträge, Mengen, Vorzeichen und fachliche Wirkungen unabhängig abstimmen. Reale Testergebnisse, Adapterdefinitionen, Hashes und offene Befunde vor der Abnahme sichern.</w:t>
      </w:r>
    </w:p>
    <w:p>
      <w:r>
        <w:br w:type="page"/>
      </w:r>
    </w:p>
    <w:p>
      <w:pPr>
        <w:pStyle w:val="Heading1"/>
      </w:pPr>
      <w:r>
        <w:t>Erweiterte Lagerverwaltung</w:t>
      </w:r>
    </w:p>
    <w:p>
      <w:r>
        <w:t>ECC LE-WM oder dezentrales, eingebettetes bzw. Business Suite EWM. Die tatsächliche Herkunft jedes Exports dokumentieren.</w:t>
      </w:r>
    </w:p>
    <w:p>
      <w:pPr>
        <w:pStyle w:val="Heading2"/>
      </w:pPr>
      <w:r>
        <w:t>Module und Strukturen</w:t>
      </w:r>
    </w:p>
    <w:p>
      <w:r>
        <w:t>storage_bin  ·  2 Strukturen  ·  Stammdaten</w:t>
      </w:r>
    </w:p>
    <w:p>
      <w:r>
        <w:t>warehouse_product  ·  2 Strukturen  ·  Stammdaten</w:t>
      </w:r>
    </w:p>
    <w:p>
      <w:r>
        <w:t>warehouse_stock  ·  2 Strukturen  ·  Bestand</w:t>
      </w:r>
    </w:p>
    <w:p>
      <w:r>
        <w:t>handling_unit  ·  2 Strukturen  ·  Prozessreferenz</w:t>
      </w:r>
    </w:p>
    <w:p>
      <w:r>
        <w:t>warehouse_task  ·  2 Strukturen  ·  Prozessreferenz</w:t>
      </w:r>
    </w:p>
    <w:p>
      <w:r>
        <w:t>warehouse_order  ·  1 Struktur  ·  Prozessreferenz</w:t>
      </w:r>
    </w:p>
    <w:p>
      <w:r>
        <w:t>warehouse_delivery  ·  2 Strukturen  ·  Prozessreferenz</w:t>
      </w:r>
    </w:p>
    <w:p>
      <w:r>
        <w:t>pack_specification  ·  3 Strukturen  ·  Stammdaten</w:t>
      </w:r>
    </w:p>
    <w:p>
      <w:pPr>
        <w:pStyle w:val="Heading2"/>
      </w:pPr>
      <w:r>
        <w:t>Fachliche Grenzen</w:t>
      </w:r>
    </w:p>
    <w:p>
      <w:r>
        <w:t>LE-WM und EWM besitzen unterschiedliche Quellmodelle. Lagernummer, Verfügungsberechtigter, Eigentümer, Bestandsart, Charge, HU und Seriennummern zuordnen. Bestände einfrieren und MM/IM mit EWM ohne Doppelbeladung abstimmen. Offene Lageraufgaben, Lageraufträge und Lieferungen benötigen freigegebene Geschäftsprozesse. Packvorschriften und Lagertyp-Customizing separat prüfen.</w:t>
      </w:r>
    </w:p>
    <w:p>
      <w:r>
        <w:t>Bestandsfreeze, MM/IM-Abstimmung, HU-Hierarchie, Seriennummern und offene Lagerprozesse gemeinsam prüfen. Aufgabenbestätigung darf keine ungeplanten Bestandsbewegungen erzeugen.</w:t>
      </w:r>
    </w:p>
    <w:p>
      <w:r>
        <w:t>Paketordner: ewm_mig_src, ewm_mig_s4.</w:t>
      </w:r>
    </w:p>
    <w:p>
      <w:r>
        <w:t>Vertiefung: CUSTOMER_MANUAL_EN.md, CUSTOMER_MANUAL_DE.md, source-adapters.json, target-adapters.json und staging-contracts.json. Adapterstatus und tatsächliche SAP Tests vor Abnahme dokumentieren.</w:t>
      </w:r>
    </w:p>
    <w:p>
      <w:r>
        <w:br w:type="page"/>
      </w:r>
    </w:p>
    <w:p>
      <w:pPr>
        <w:pStyle w:val="Heading1"/>
      </w:pPr>
      <w:r>
        <w:t>Transportmanagement</w:t>
      </w:r>
    </w:p>
    <w:p>
      <w:r>
        <w:t>Eigenständiges SAP TM 9.x oder eingebettetes bzw. dezentrales S/4HANA TM. ECC Transporte bilden ein separates Vorgängermodell.</w:t>
      </w:r>
    </w:p>
    <w:p>
      <w:pPr>
        <w:pStyle w:val="Heading2"/>
      </w:pPr>
      <w:r>
        <w:t>Module und Strukturen</w:t>
      </w:r>
    </w:p>
    <w:p>
      <w:r>
        <w:t>transport_location  ·  1 Struktur  ·  Stammdaten</w:t>
      </w:r>
    </w:p>
    <w:p>
      <w:r>
        <w:t>transport_resource  ·  2 Strukturen  ·  Stammdaten</w:t>
      </w:r>
    </w:p>
    <w:p>
      <w:r>
        <w:t>transport_lane  ·  2 Strukturen  ·  Stammdaten</w:t>
      </w:r>
    </w:p>
    <w:p>
      <w:r>
        <w:t>transport_schedule  ·  2 Strukturen  ·  Stammdaten</w:t>
      </w:r>
    </w:p>
    <w:p>
      <w:r>
        <w:t>freight_agreement  ·  3 Strukturen  ·  Stammdaten</w:t>
      </w:r>
    </w:p>
    <w:p>
      <w:r>
        <w:t>freight_unit  ·  3 Strukturen  ·  Prozessreferenz</w:t>
      </w:r>
    </w:p>
    <w:p>
      <w:r>
        <w:t>freight_order  ·  4 Strukturen  ·  Prozessreferenz</w:t>
      </w:r>
    </w:p>
    <w:p>
      <w:r>
        <w:t>freight_settlement  ·  2 Strukturen  ·  Referenzdaten</w:t>
      </w:r>
    </w:p>
    <w:p>
      <w:pPr>
        <w:pStyle w:val="Heading2"/>
      </w:pPr>
      <w:r>
        <w:t>Fachliche Grenzen</w:t>
      </w:r>
    </w:p>
    <w:p>
      <w:r>
        <w:t>Freigegebene Geschäftsdienste oder geprüfte native Geschäftsobjektexporte verwenden. Interne GUIDs, Elternbeziehungen, UTC-Zeitpunkte und Zeitzonen erhalten. Frachtbelege besitzen Ausführungs- und Abrechnungswirkungen und bleiben bis zur Schnittstellenfreigabe Prozessreferenzen. Vereinbarungen, Staffeln, Währungen und Rating separat prüfen. Upgrade-XPRA-Berichte sind keine allgemeinen systemübergreifenden Migrationsschnittstellen.</w:t>
      </w:r>
    </w:p>
    <w:p>
      <w:r>
        <w:t>Frachtstück-, Frachtauftrag-, Stopp- und Streckenbeziehungen mit der nativen GUID-Zuordnung prüfen. Gebühren und Staffeln neu bewerten; keine Abrechnungshistorie doppelt buchen.</w:t>
      </w:r>
    </w:p>
    <w:p>
      <w:r>
        <w:t>Paketordner: tm_mig_src, tm_mig_s4.</w:t>
      </w:r>
    </w:p>
    <w:p>
      <w:r>
        <w:t>Vertiefung: CUSTOMER_MANUAL_EN.md, CUSTOMER_MANUAL_DE.md, source-adapters.json, target-adapters.json und staging-contracts.json. Adapterstatus und tatsächliche SAP Tests vor Abnahme dokumentieren.</w:t>
      </w:r>
    </w:p>
    <w:p>
      <w:r>
        <w:br w:type="page"/>
      </w:r>
    </w:p>
    <w:p>
      <w:pPr>
        <w:pStyle w:val="Heading1"/>
      </w:pPr>
      <w:r>
        <w:t>Finanzielles Supply Chain Management</w:t>
      </w:r>
    </w:p>
    <w:p>
      <w:r>
        <w:t>Klassisches ECC Kreditmanagement, FSCM Credit, Collections und Dispute Management oder S/4HANA Nachfolger. Den konkreten Migrationspfad auswählen.</w:t>
      </w:r>
    </w:p>
    <w:p>
      <w:pPr>
        <w:pStyle w:val="Heading2"/>
      </w:pPr>
      <w:r>
        <w:t>Module und Strukturen</w:t>
      </w:r>
    </w:p>
    <w:p>
      <w:r>
        <w:t>credit_profile  ·  2 Strukturen  ·  Stammdaten</w:t>
      </w:r>
    </w:p>
    <w:p>
      <w:r>
        <w:t>credit_segment  ·  1 Struktur  ·  Stammdaten</w:t>
      </w:r>
    </w:p>
    <w:p>
      <w:r>
        <w:t>credit_exposure  ·  1 Struktur  ·  Referenzdaten</w:t>
      </w:r>
    </w:p>
    <w:p>
      <w:r>
        <w:t>collections_profile  ·  2 Strukturen  ·  Stammdaten</w:t>
      </w:r>
    </w:p>
    <w:p>
      <w:r>
        <w:t>collection_activity  ·  2 Strukturen  ·  Prozessreferenz</w:t>
      </w:r>
    </w:p>
    <w:p>
      <w:r>
        <w:t>promise_to_pay  ·  2 Strukturen  ·  Prozessreferenz</w:t>
      </w:r>
    </w:p>
    <w:p>
      <w:r>
        <w:t>dispute_case  ·  4 Strukturen  ·  Prozessreferenz</w:t>
      </w:r>
    </w:p>
    <w:p>
      <w:pPr>
        <w:pStyle w:val="Heading2"/>
      </w:pPr>
      <w:r>
        <w:t>Fachliche Grenzen</w:t>
      </w:r>
    </w:p>
    <w:p>
      <w:r>
        <w:t>Klassische Kreditkontrollbereiche auf FSCM-Kreditsegmente und Geschäftspartner abbilden. Kreditobligo wird aus operativen Quellen neu erzeugt und darf nicht zusätzlich als Anfangsschuld gebucht werden. Collections und Streitfälle auf dieselbe FI-Forderungspopulation beziehen. Status, Zusagen, Kontakte, Notizen und Anlagen benötigen freigegebene Schnittstellen und Berechtigungen. Collections and Dispute Automation in Public Cloud ist ein eigener Nachfolger mit geordneten Migrationsjobs.</w:t>
      </w:r>
    </w:p>
    <w:p>
      <w:r>
        <w:t>Kreditsegmente, Geschäftspartner und FI-Forderungen vor Collections und Streitfällen abstimmen. Kreditobligo aus operativen Quellen neu erzeugen. Zusagen und Fallstatus fachlich testen.</w:t>
      </w:r>
    </w:p>
    <w:p>
      <w:r>
        <w:t>Paketordner: fscm_mig_src, fscm_mig_s4.</w:t>
      </w:r>
    </w:p>
    <w:p>
      <w:r>
        <w:t>Vertiefung: CUSTOMER_MANUAL_EN.md, CUSTOMER_MANUAL_DE.md, source-adapters.json, target-adapters.json und staging-contracts.json. Adapterstatus und tatsächliche SAP Tests vor Abnahme dokumentieren.</w:t>
      </w:r>
    </w:p>
    <w:p>
      <w:r>
        <w:br w:type="page"/>
      </w:r>
    </w:p>
    <w:p>
      <w:pPr>
        <w:pStyle w:val="Heading1"/>
      </w:pPr>
      <w:r>
        <w:t>Umwelt Gesundheit und Sicherheit</w:t>
      </w:r>
    </w:p>
    <w:p>
      <w:r>
        <w:t>Klassische EHS Spezifikations- und Phrasenverwaltung sowie moderne EHSM Anwendungen bilden unterschiedliche Modelle. Nur den passenden Pfad aktivieren.</w:t>
      </w:r>
    </w:p>
    <w:p>
      <w:pPr>
        <w:pStyle w:val="Heading2"/>
      </w:pPr>
      <w:r>
        <w:t>Module und Strukturen</w:t>
      </w:r>
    </w:p>
    <w:p>
      <w:r>
        <w:t>ehs_location  ·  2 Strukturen  ·  Stammdaten</w:t>
      </w:r>
    </w:p>
    <w:p>
      <w:r>
        <w:t>chemical_property  ·  2 Strukturen  ·  Stammdaten</w:t>
      </w:r>
    </w:p>
    <w:p>
      <w:r>
        <w:t>specification  ·  3 Strukturen  ·  Stammdaten</w:t>
      </w:r>
    </w:p>
    <w:p>
      <w:r>
        <w:t>phrase  ·  2 Strukturen  ·  Stammdaten</w:t>
      </w:r>
    </w:p>
    <w:p>
      <w:r>
        <w:t>incident  ·  3 Strukturen  ·  Prozessreferenz</w:t>
      </w:r>
    </w:p>
    <w:p>
      <w:r>
        <w:t>risk_assessment  ·  3 Strukturen  ·  Referenzdaten</w:t>
      </w:r>
    </w:p>
    <w:p>
      <w:r>
        <w:t>environmental_data  ·  3 Strukturen  ·  Referenzdaten</w:t>
      </w:r>
    </w:p>
    <w:p>
      <w:r>
        <w:t>compliance  ·  3 Strukturen  ·  Stammdaten</w:t>
      </w:r>
    </w:p>
    <w:p>
      <w:r>
        <w:t>dangerous_goods  ·  2 Strukturen  ·  Regulatorische Referenz</w:t>
      </w:r>
    </w:p>
    <w:p>
      <w:pPr>
        <w:pStyle w:val="Heading2"/>
      </w:pPr>
      <w:r>
        <w:t>Fachliche Grenzen</w:t>
      </w:r>
    </w:p>
    <w:p>
      <w:r>
        <w:t>Klassische Spezifikationen und moderne EHSM-Objekte sind nicht austauschbar. Version, Gültigkeit, Rechtsraum, Einheiten, mehrsprachige Phrasen und Bewertungssemantik erhalten. Personen-/Gesundheitsdaten in Ereignissen restriktiv schützen; Anlagen und Langtexte über freigegebene Schnittstellen übertragen. Historische Bewertungen, Messungen und Ereignisse bleiben bis zur Zielobjektfreigabe Referenzdaten. Product Compliance und Dangerous Goods besitzen eigene Release- und Objektgrenzen; das Format bestätigt keine Rechtskonformität.</w:t>
      </w:r>
    </w:p>
    <w:p>
      <w:r>
        <w:t>Klassische Spezifikation und modernes EHSM getrennt behandeln. Hierarchie, Bewertungs-/Gültigkeitsstände, Rechtsraum und Einheiten prüfen. Personen-/Gesundheitsdaten und Anlagen besonders restriktiv schützen.</w:t>
      </w:r>
    </w:p>
    <w:p>
      <w:r>
        <w:t>Paketordner: ehs_mig_src, ehs_mig_s4.</w:t>
      </w:r>
    </w:p>
    <w:p>
      <w:r>
        <w:t>Vertiefung: CUSTOMER_MANUAL_EN.md, CUSTOMER_MANUAL_DE.md, source-adapters.json, target-adapters.json und staging-contracts.json. Adapterstatus und tatsächliche SAP Tests vor Abnahme dokumentieren.</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ModuPorter EWM TM FSCM EHS Migrationshandbuch</dc:title>
  <dc:subject/>
  <dc:creator>KAOURI INNOVATECH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