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EWM TM FSCM EHS Migration Handbook</w:t>
      </w:r>
    </w:p>
    <w:p>
      <w:r>
        <w:t>Version 0.1.0  |  11 October 2026</w:t>
      </w:r>
    </w:p>
    <w:p>
      <w:r>
        <w:t>The four packs provide canonical export contracts, customer staging tables, layered CDS views and preparation/reconciliation tools. Native SAP read adapters and business object loading must be implemented for the actual application. No object has been activated in SAP or verified through a load.</w:t>
      </w:r>
    </w:p>
    <w:tbl>
      <w:tblPr>
        <w:tblW w:type="auto" w:w="0"/>
        <w:tblLayout w:type="fixed"/>
        <w:tblLook w:firstColumn="1" w:firstRow="1" w:lastColumn="0" w:lastRow="0" w:noHBand="0" w:noVBand="1" w:val="04A0"/>
      </w:tblPr>
      <w:tblGrid>
        <w:gridCol w:w="4139"/>
        <w:gridCol w:w="1134"/>
        <w:gridCol w:w="1417"/>
        <w:gridCol w:w="1134"/>
        <w:gridCol w:w="1134"/>
      </w:tblGrid>
      <w:tr>
        <w:trPr>
          <w:tblHeader/>
          <w:cantSplit/>
        </w:trPr>
        <w:tc>
          <w:tcPr>
            <w:tcW w:type="dxa" w:w="4139"/>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Domain</w:t>
            </w:r>
          </w:p>
        </w:tc>
        <w:tc>
          <w:tcPr>
            <w:tcW w:type="dxa" w:w="1134"/>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Modules</w:t>
            </w:r>
          </w:p>
        </w:tc>
        <w:tc>
          <w:tcPr>
            <w:tcW w:type="dxa" w:w="1417"/>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Structures</w:t>
            </w:r>
          </w:p>
        </w:tc>
        <w:tc>
          <w:tcPr>
            <w:tcW w:type="dxa" w:w="1134"/>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Source</w:t>
            </w:r>
          </w:p>
        </w:tc>
        <w:tc>
          <w:tcPr>
            <w:tcW w:type="dxa" w:w="1134"/>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Target</w:t>
            </w:r>
          </w:p>
        </w:tc>
      </w:tr>
      <w:tr>
        <w:trPr>
          <w:cantSplit/>
        </w:trPr>
        <w:tc>
          <w:tcPr>
            <w:tcW w:type="dxa" w:w="4139"/>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Extended Warehouse Management</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8</w:t>
            </w:r>
          </w:p>
        </w:tc>
        <w:tc>
          <w:tcPr>
            <w:tcW w:type="dxa" w:w="1417"/>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16</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56</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24</w:t>
            </w:r>
          </w:p>
        </w:tc>
      </w:tr>
      <w:tr>
        <w:trPr>
          <w:cantSplit/>
        </w:trPr>
        <w:tc>
          <w:tcPr>
            <w:tcW w:type="dxa" w:w="4139"/>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Transportation Management</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8</w:t>
            </w:r>
          </w:p>
        </w:tc>
        <w:tc>
          <w:tcPr>
            <w:tcW w:type="dxa" w:w="1417"/>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19</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65</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27</w:t>
            </w:r>
          </w:p>
        </w:tc>
      </w:tr>
      <w:tr>
        <w:trPr>
          <w:cantSplit/>
        </w:trPr>
        <w:tc>
          <w:tcPr>
            <w:tcW w:type="dxa" w:w="4139"/>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Financial Supply Chain Management</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7</w:t>
            </w:r>
          </w:p>
        </w:tc>
        <w:tc>
          <w:tcPr>
            <w:tcW w:type="dxa" w:w="1417"/>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14</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49</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21</w:t>
            </w:r>
          </w:p>
        </w:tc>
      </w:tr>
      <w:tr>
        <w:trPr>
          <w:cantSplit/>
        </w:trPr>
        <w:tc>
          <w:tcPr>
            <w:tcW w:type="dxa" w:w="4139"/>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Environment Health and Safety</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9</w:t>
            </w:r>
          </w:p>
        </w:tc>
        <w:tc>
          <w:tcPr>
            <w:tcW w:type="dxa" w:w="1417"/>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23</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78</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32</w:t>
            </w:r>
          </w:p>
        </w:tc>
      </w:tr>
    </w:tbl>
    <w:p/>
    <w:p>
      <w:r>
        <w:t>The delivery contains 32 modules, 72 structures, 726 canonical fields, 352 CDS views and 144 customer staging tables. Values are text to preserve internal identifiers and decimal representations. Currency and quantity semantics require business verification.</w:t>
      </w:r>
    </w:p>
    <w:p>
      <w:pPr>
        <w:pStyle w:val="Heading2"/>
      </w:pPr>
      <w:r>
        <w:t>Architecture and evidence</w:t>
      </w:r>
    </w:p>
    <w:p>
      <w:r>
        <w:t>Native source → canonical export → approved selection → customer staging → Basic → Composite → Consumption. Target CDS views read supplied staged evidence only. Matching staging files do not establish successful business object migration. Offline checks are not SAP certification.</w:t>
      </w:r>
    </w:p>
    <w:p>
      <w:r>
        <w:br w:type="page"/>
      </w:r>
    </w:p>
    <w:p>
      <w:pPr>
        <w:pStyle w:val="Heading1"/>
      </w:pPr>
      <w:r>
        <w:t>Installation and customer validation</w:t>
      </w:r>
    </w:p>
    <w:p>
      <w:r>
        <w:t>1. Choose source and target applications and releases. Approve native read adapters and business interfaces; the supplied JSON contracts are not SAP connectors.</w:t>
      </w:r>
    </w:p>
    <w:p>
      <w:r>
        <w:t>2. Produce canonical UTF-8 CSV using customer/headers. Preserve internal identifiers, leading zeros, currencies, units and timestamps.</w:t>
      </w:r>
    </w:p>
    <w:p>
      <w:r>
        <w:t>3. SourceSystem, SourceClient and ExportBatch identify the origin cohort. Target evidence uses the same origin fields. Map changed target IDs back to source keys and retain the audit ledger.</w:t>
      </w:r>
    </w:p>
    <w:p>
      <w:r>
        <w:t>4. Approve cutover, business state and parent/child relationships. Populate full approved keys in customer/selection. Empty selections produce zero rows.</w:t>
      </w:r>
    </w:p>
    <w:p>
      <w:r>
        <w:t>5. Run customer/examples/project.json locally with migration_run.py first. Synthetic examples demonstrate file formats and tools, not valid SAP posting payloads.</w:t>
      </w:r>
    </w:p>
    <w:p>
      <w:r>
        <w:t>6. Prepare selected rows with migration_stage.py. It checks headers, keys, lengths and origin and creates stage.tsv and a hash audit.</w:t>
      </w:r>
    </w:p>
    <w:p>
      <w:r>
        <w:t>7. Import source and target ZIPs separately. Activate tables before views using ACTIVATION_ORDER. Create reports separately in SE38. Staging import defaults to simulation and does not change business object tables.</w:t>
      </w:r>
    </w:p>
    <w:p>
      <w:r>
        <w:t>8. Test GUI UTF-8, tabs, empty final fields, duplicates, rollback and restricted users on SAP. Normalize staging exports with --physical; DDIC preflight confirms only stage metadata.</w:t>
      </w:r>
    </w:p>
    <w:p>
      <w:r>
        <w:t>9. Load approved data through a supported business interface. Do not automatically repost process history. Export native target evidence and compare the same cohort with migration_prepare.py compare.</w:t>
      </w:r>
    </w:p>
    <w:p>
      <w:r>
        <w:t>10. Independently reconcile amounts, quantities, signs and business effects. Retain real test results, adapter definitions, hashes and findings before acceptance.</w:t>
      </w:r>
    </w:p>
    <w:p>
      <w:r>
        <w:br w:type="page"/>
      </w:r>
    </w:p>
    <w:p>
      <w:pPr>
        <w:pStyle w:val="Heading1"/>
      </w:pPr>
      <w:r>
        <w:t>Extended Warehouse Management</w:t>
      </w:r>
    </w:p>
    <w:p>
      <w:r>
        <w:t>ECC LE-WM or Business Suite/decentralized/embedded EWM; record which native export produced each cohort.</w:t>
      </w:r>
    </w:p>
    <w:p>
      <w:pPr>
        <w:pStyle w:val="Heading2"/>
      </w:pPr>
      <w:r>
        <w:t>Modules and structures</w:t>
      </w:r>
    </w:p>
    <w:p>
      <w:r>
        <w:t>storage_bin  ·  2 structures  ·  master</w:t>
      </w:r>
    </w:p>
    <w:p>
      <w:r>
        <w:t>warehouse_product  ·  2 structures  ·  master</w:t>
      </w:r>
    </w:p>
    <w:p>
      <w:r>
        <w:t>warehouse_stock  ·  2 structures  ·  balance</w:t>
      </w:r>
    </w:p>
    <w:p>
      <w:r>
        <w:t>handling_unit  ·  2 structures  ·  process-reference</w:t>
      </w:r>
    </w:p>
    <w:p>
      <w:r>
        <w:t>warehouse_task  ·  2 structures  ·  process-reference</w:t>
      </w:r>
    </w:p>
    <w:p>
      <w:r>
        <w:t>warehouse_order  ·  1 structure  ·  process-reference</w:t>
      </w:r>
    </w:p>
    <w:p>
      <w:r>
        <w:t>warehouse_delivery  ·  2 structures  ·  process-reference</w:t>
      </w:r>
    </w:p>
    <w:p>
      <w:r>
        <w:t>pack_specification  ·  3 structures  ·  master</w:t>
      </w:r>
    </w:p>
    <w:p>
      <w:pPr>
        <w:pStyle w:val="Heading2"/>
      </w:pPr>
      <w:r>
        <w:t>Business boundaries</w:t>
      </w:r>
    </w:p>
    <w:p>
      <w:r>
        <w:t>LE-WM and EWM are distinct source models. Warehouse numbers, entitled-to-dispose party, owner, stock type, batch, HU and serial identities require mapping. Freeze inventory and reconcile MM/IM and EWM without loading stock twice. Open warehouse tasks, orders and deliveries require a verified process migration; recreate or complete them through supported business operations, not table inserts. Packaging specifications and storage-type customizing must be validated independently.</w:t>
      </w:r>
    </w:p>
    <w:p>
      <w:r>
        <w:t>Validate inventory freeze, MM/IM reconciliation, HU hierarchy, serials and open warehouse processes together. Task confirmation must not create unintended stock movements.</w:t>
      </w:r>
    </w:p>
    <w:p>
      <w:r>
        <w:t>Product folders: ewm_mig_src, ewm_mig_s4.</w:t>
      </w:r>
    </w:p>
    <w:p>
      <w:r>
        <w:t>Further detail: CUSTOMER_MANUAL_EN.md, CUSTOMER_MANUAL_DE.md, source-adapters.json, target-adapters.json and staging-contracts.json. Record adapter status and actual SAP tests before acceptance.</w:t>
      </w:r>
    </w:p>
    <w:p>
      <w:r>
        <w:br w:type="page"/>
      </w:r>
    </w:p>
    <w:p>
      <w:pPr>
        <w:pStyle w:val="Heading1"/>
      </w:pPr>
      <w:r>
        <w:t>Transportation Management</w:t>
      </w:r>
    </w:p>
    <w:p>
      <w:r>
        <w:t>SAP TM 9.x standalone or S/4HANA embedded/decentralized TM; ECC shipments are a separate predecessor model.</w:t>
      </w:r>
    </w:p>
    <w:p>
      <w:pPr>
        <w:pStyle w:val="Heading2"/>
      </w:pPr>
      <w:r>
        <w:t>Modules and structures</w:t>
      </w:r>
    </w:p>
    <w:p>
      <w:r>
        <w:t>transport_location  ·  1 structure  ·  master</w:t>
      </w:r>
    </w:p>
    <w:p>
      <w:r>
        <w:t>transport_resource  ·  2 structures  ·  master</w:t>
      </w:r>
    </w:p>
    <w:p>
      <w:r>
        <w:t>transport_lane  ·  2 structures  ·  master</w:t>
      </w:r>
    </w:p>
    <w:p>
      <w:r>
        <w:t>transport_schedule  ·  2 structures  ·  master</w:t>
      </w:r>
    </w:p>
    <w:p>
      <w:r>
        <w:t>freight_agreement  ·  3 structures  ·  master</w:t>
      </w:r>
    </w:p>
    <w:p>
      <w:r>
        <w:t>freight_unit  ·  3 structures  ·  process-reference</w:t>
      </w:r>
    </w:p>
    <w:p>
      <w:r>
        <w:t>freight_order  ·  4 structures  ·  process-reference</w:t>
      </w:r>
    </w:p>
    <w:p>
      <w:r>
        <w:t>freight_settlement  ·  2 structures  ·  reference</w:t>
      </w:r>
    </w:p>
    <w:p>
      <w:pPr>
        <w:pStyle w:val="Heading2"/>
      </w:pPr>
      <w:r>
        <w:t>Business boundaries</w:t>
      </w:r>
    </w:p>
    <w:p>
      <w:r>
        <w:t>Use released business services or a verified native business-object export. Internal node GUIDs, parent relationships, UTC timestamps and local time zones must survive normalization. Freight units/orders/bookings have execution and settlement effects; treat existing documents as process references until the target interface supports the exact state. Agreements, scales, currencies and charges require separate configuration and rating validation. TM upgrade XPRA reports are not generic cross-system migration interfaces.</w:t>
      </w:r>
    </w:p>
    <w:p>
      <w:r>
        <w:t>Validate freight unit, order, stop and stage relationships using native GUID mappings. Revalidate charges and scales; do not post settlement history twice.</w:t>
      </w:r>
    </w:p>
    <w:p>
      <w:r>
        <w:t>Product folders: tm_mig_src, tm_mig_s4.</w:t>
      </w:r>
    </w:p>
    <w:p>
      <w:r>
        <w:t>Further detail: CUSTOMER_MANUAL_EN.md, CUSTOMER_MANUAL_DE.md, source-adapters.json, target-adapters.json and staging-contracts.json. Record adapter status and actual SAP tests before acceptance.</w:t>
      </w:r>
    </w:p>
    <w:p>
      <w:r>
        <w:br w:type="page"/>
      </w:r>
    </w:p>
    <w:p>
      <w:pPr>
        <w:pStyle w:val="Heading1"/>
      </w:pPr>
      <w:r>
        <w:t>Financial Supply Chain Management</w:t>
      </w:r>
    </w:p>
    <w:p>
      <w:r>
        <w:t>Classic ECC credit management, FSCM Credit/Collections/Dispute Management, or S/4HANA successors; choose the exact path.</w:t>
      </w:r>
    </w:p>
    <w:p>
      <w:pPr>
        <w:pStyle w:val="Heading2"/>
      </w:pPr>
      <w:r>
        <w:t>Modules and structures</w:t>
      </w:r>
    </w:p>
    <w:p>
      <w:r>
        <w:t>credit_profile  ·  2 structures  ·  master</w:t>
      </w:r>
    </w:p>
    <w:p>
      <w:r>
        <w:t>credit_segment  ·  1 structure  ·  master</w:t>
      </w:r>
    </w:p>
    <w:p>
      <w:r>
        <w:t>credit_exposure  ·  1 structure  ·  reference</w:t>
      </w:r>
    </w:p>
    <w:p>
      <w:r>
        <w:t>collections_profile  ·  2 structures  ·  master</w:t>
      </w:r>
    </w:p>
    <w:p>
      <w:r>
        <w:t>collection_activity  ·  2 structures  ·  process-reference</w:t>
      </w:r>
    </w:p>
    <w:p>
      <w:r>
        <w:t>promise_to_pay  ·  2 structures  ·  process-reference</w:t>
      </w:r>
    </w:p>
    <w:p>
      <w:r>
        <w:t>dispute_case  ·  4 structures  ·  process-reference</w:t>
      </w:r>
    </w:p>
    <w:p>
      <w:pPr>
        <w:pStyle w:val="Heading2"/>
      </w:pPr>
      <w:r>
        <w:t>Business boundaries</w:t>
      </w:r>
    </w:p>
    <w:p>
      <w:r>
        <w:t>Classic credit-control areas must be mapped to FSCM credit segments and business partners; the identifiers are not equivalent. Credit exposure is regenerated from integrated operational sources and must not also be posted as opening debt. Collections worklists and dispute amounts depend on the same FI receivable cohort. Status, promises, contacts, notes and attachments require approved business interfaces and access controls. Public Cloud collections and dispute automation is a distinct successor with its own ordered migration jobs, not an assumed on-premise adapter.</w:t>
      </w:r>
    </w:p>
    <w:p>
      <w:r>
        <w:t>Reconcile credit segments, business partners and FI receivables before collections and disputes. Regenerate exposure from operational sources. Validate promises and case states with the business owner.</w:t>
      </w:r>
    </w:p>
    <w:p>
      <w:r>
        <w:t>Product folders: fscm_mig_src, fscm_mig_s4.</w:t>
      </w:r>
    </w:p>
    <w:p>
      <w:r>
        <w:t>Further detail: CUSTOMER_MANUAL_EN.md, CUSTOMER_MANUAL_DE.md, source-adapters.json, target-adapters.json and staging-contracts.json. Record adapter status and actual SAP tests before acceptance.</w:t>
      </w:r>
    </w:p>
    <w:p>
      <w:r>
        <w:br w:type="page"/>
      </w:r>
    </w:p>
    <w:p>
      <w:pPr>
        <w:pStyle w:val="Heading1"/>
      </w:pPr>
      <w:r>
        <w:t>Environment Health and Safety</w:t>
      </w:r>
    </w:p>
    <w:p>
      <w:r>
        <w:t>Classic EHS Specification/Phrase Management and modern EHSM/EHS applications are distinct; enable only the applicable path.</w:t>
      </w:r>
    </w:p>
    <w:p>
      <w:pPr>
        <w:pStyle w:val="Heading2"/>
      </w:pPr>
      <w:r>
        <w:t>Modules and structures</w:t>
      </w:r>
    </w:p>
    <w:p>
      <w:r>
        <w:t>ehs_location  ·  2 structures  ·  master</w:t>
      </w:r>
    </w:p>
    <w:p>
      <w:r>
        <w:t>chemical_property  ·  2 structures  ·  master</w:t>
      </w:r>
    </w:p>
    <w:p>
      <w:r>
        <w:t>specification  ·  3 structures  ·  master</w:t>
      </w:r>
    </w:p>
    <w:p>
      <w:r>
        <w:t>phrase  ·  2 structures  ·  master</w:t>
      </w:r>
    </w:p>
    <w:p>
      <w:r>
        <w:t>incident  ·  3 structures  ·  process-reference</w:t>
      </w:r>
    </w:p>
    <w:p>
      <w:r>
        <w:t>risk_assessment  ·  3 structures  ·  reference</w:t>
      </w:r>
    </w:p>
    <w:p>
      <w:r>
        <w:t>environmental_data  ·  3 structures  ·  reference</w:t>
      </w:r>
    </w:p>
    <w:p>
      <w:r>
        <w:t>compliance  ·  3 structures  ·  master</w:t>
      </w:r>
    </w:p>
    <w:p>
      <w:r>
        <w:t>dangerous_goods  ·  2 structures  ·  regulatory-reference</w:t>
      </w:r>
    </w:p>
    <w:p>
      <w:pPr>
        <w:pStyle w:val="Heading2"/>
      </w:pPr>
      <w:r>
        <w:t>Business boundaries</w:t>
      </w:r>
    </w:p>
    <w:p>
      <w:r>
        <w:t>Specification records and modern EHSM objects are not interchangeable. Preserve versions, validity, regulatory jurisdiction, units, multilingual phrases and native evaluation semantics. Incident people/medical content needs restricted access; attachments and long texts use approved repository/text interfaces. Historic assessments, measurements and incidents are reference data until a supported target object is selected. Product Compliance and Dangerous Goods have separate object/release scopes; a canonical contract does not certify legal or regulatory content.</w:t>
      </w:r>
    </w:p>
    <w:p>
      <w:r>
        <w:t>Separate classic specification management from modern EHSM. Verify hierarchy, evaluation/validity states, regulatory area and units. Restrict access to person/medical records and attachments.</w:t>
      </w:r>
    </w:p>
    <w:p>
      <w:r>
        <w:t>Product folders: ehs_mig_src, ehs_mig_s4.</w:t>
      </w:r>
    </w:p>
    <w:p>
      <w:r>
        <w:t>Further detail: CUSTOMER_MANUAL_EN.md, CUSTOMER_MANUAL_DE.md, source-adapters.json, target-adapters.json and staging-contracts.json. Record adapter status and actual SAP tests before acceptance.</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EWM TM FSCM EHS Migration Handbook</dc:title>
  <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