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Migrationstemplates Kundenhandbuch</w:t>
      </w:r>
    </w:p>
    <w:p>
      <w:r>
        <w:t>Version 1.0.0 | KAOURI INNOVATECH</w:t>
      </w:r>
    </w:p>
    <w:p>
      <w:r>
        <w:t>Dieses Handbuch erklärt die Installation, Modulauswahl und Quellextraktion der gelieferten Migrationstemplates. Jedes Paket enthält ein SOURCE-Importarchiv mit CDS-Views, Feldzuordnungen, Vorbereitungshilfen und einer VDM-Karte. Die Übernahme der extrahierten Daten erfolgt über die vom Kunden gewählte SAP-Schnittstelle.</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73</w:t>
            </w:r>
          </w:p>
        </w:tc>
        <w:tc>
          <w:tcPr>
            <w:tcW w:type="dxa" w:w="2324"/>
            <w:shd w:fill="F2F5F7"/>
          </w:tcPr>
          <w:p>
            <w:pPr>
              <w:spacing w:after="80" w:before="80"/>
            </w:pPr>
            <w:r>
              <w:rPr>
                <w:b w:val="0"/>
                <w:color w:val="000000"/>
                <w:sz w:val="20"/>
              </w:rPr>
              <w:t>241</w:t>
            </w:r>
          </w:p>
        </w:tc>
      </w:tr>
    </w:tbl>
    <w:p>
      <w:r/>
    </w:p>
    <w:p>
      <w:pPr>
        <w:pStyle w:val="Heading2"/>
      </w:pPr>
      <w:r>
        <w:t>Architektur</w:t>
      </w:r>
    </w:p>
    <w:p>
      <w:r>
        <w:t>SAP table → B_ Basic → I_ Interface → C_ Consumption</w:t>
      </w:r>
    </w:p>
    <w:p>
      <w:r>
        <w:t>Basic liest native Tabellen und erhält deren Datengranularität. Composite stellt fachliche Spalten und Beziehungen bereit. Consumption liefert die dokumentierten Exportstrukturen. Wiederholbare Kinddaten bleiben getrennt und werden auf die ausgewählte Elternpopulation begrenzt.</w:t>
      </w:r>
    </w:p>
    <w:p>
      <w:pPr>
        <w:pStyle w:val="Heading2"/>
      </w:pPr>
      <w:r>
        <w:t>Lieferumfang</w:t>
      </w:r>
    </w:p>
    <w:p>
      <w:r>
        <w:t>Enthalten sind CDS-Quellen, abapGit-Metadaten, Feldzuordnungen, Aktivierungsreihenfolge, Umfangsbeschreibung, Lizenz und VDM-Karte. Python-Werkzeuge unterstützen die Auswahl und Vorbereitung von Quellexporten. Optionale ABAP-Berichte werden getrennt in SE38 angelegt.</w:t>
      </w:r>
    </w:p>
    <w:p>
      <w:r>
        <w:t>Die Lizenz erlaubt unbegrenzte Nutzung und Änderung für eigene und Kundenimplementierungen. Ein Weiterverkauf der Templatebibliothek ist ausgeschlossen. Maßgeblich ist docs/LICENSE.md.</w:t>
      </w:r>
    </w:p>
    <w:p>
      <w:r/>
    </w:p>
    <w:p>
      <w:pPr>
        <w:pStyle w:val="Heading1"/>
        <w:pageBreakBefore/>
      </w:pPr>
      <w:r>
        <w:t>Installation und Nutzung</w:t>
      </w:r>
    </w:p>
    <w:p>
      <w:r>
        <w:t>1. Das SOURCE-Archiv entpacken und in das Quellsystem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Die ausgewählte Quellpopulation für Stammsätze und Kinddaten konsistent anwenden. Interne Schlüssel, Sprachen, Gültigkeiten und Beziehungen erhalten.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eam_mig_ecc equipment --out source.zip</w:t>
      </w:r>
    </w:p>
    <w:p>
      <w:r>
        <w:t>Der Builder läuft im GitHub-Checkout auf dem Arbeitsplatz und ergänzt erforderliche Module automatisch. Für das gesamte Produkt --all statt des Modulnamens verwenden. Ein einzelner View benötigt sämtliche referenzierten Views.</w:t>
      </w:r>
    </w:p>
    <w:p>
      <w:r/>
    </w:p>
    <w:p>
      <w:pPr>
        <w:pStyle w:val="Heading1"/>
        <w:pageBreakBefore/>
      </w:pPr>
      <w:r>
        <w:t>Umfang und fachliche Regeln</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33</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37</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26</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28</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15</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7</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30</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16</w:t>
            </w:r>
          </w:p>
        </w:tc>
      </w:tr>
    </w:tbl>
    <w:p>
      <w:r/>
    </w:p>
    <w:p>
      <w:r>
        <w:t>Equipment und Technische Plätze liefern Standardadresse, Texte, Partner, aktive Status, Benutzerstatus mit Profil, Klassenzuordnungen und Merkmalswerte. Adressvarianten sowie E-Mail, Telefon und Fax bleiben getrennte Kinddaten. Technische Plätze liefern zusätzlich native Stücklistenzuordnungen. Aufträge und Meldungen liefern eigene Partner und Status. Fehlende Standardadressen entfernen den Stammsatz nicht; Systemstatus werden durch SAP-Prozesse neu erzeugt.</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und Organisationsebenen behalten getrennte Strukturen und vollständige Schlüssel. customer/parent-relationships.json begrenzt Kinddaten auf ausgewählte Eltern. Fehlende Standardadressen erhalten den Stammsatz. SAP erzeugt Systemstatus und technische Zielnummern. docs/OBJECT_COVERAGE.md dokumentiert die konkreten Objekte und Felder. Langtextindizes benötigen vollständige SAPscript-Schlüssel und explizite Eigentümerdateien; READ_TEXT liefert Inhalt und Format. Siehe docs/LONG_TEXT_WORKFLOW.md. Quellfelder gegen die gewählte unterstützte Zielschnittstelle mappen.</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Migrationstemplates Kundenhandbuch</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