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 templates customer manual</w:t>
      </w:r>
    </w:p>
    <w:p>
      <w:r>
        <w:t>Version 1.0.0 | KAOURI INNOVATECH</w:t>
      </w:r>
    </w:p>
    <w:p>
      <w:r>
        <w:t>This manual explains installation, module selection and source extraction for the supplied migration templates. Each pack contains a SOURCE import archive with CDS views, field mappings, preparation tools and a VDM map. Extracted data is loaded through the SAP interface chosen by the customer.</w:t>
      </w:r>
    </w:p>
    <w:tbl>
      <w:tblPr>
        <w:tblW w:type="auto" w:w="0"/>
        <w:tblLayout w:type="fixed"/>
        <w:tblLook w:firstColumn="1" w:firstRow="1" w:lastColumn="0" w:lastRow="0" w:noHBand="0" w:noVBand="1" w:val="04A0"/>
      </w:tblPr>
      <w:tblGrid>
        <w:gridCol w:w="2891"/>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73</w:t>
            </w:r>
          </w:p>
        </w:tc>
        <w:tc>
          <w:tcPr>
            <w:tcW w:type="dxa" w:w="2324"/>
            <w:shd w:fill="F2F5F7"/>
          </w:tcPr>
          <w:p>
            <w:pPr>
              <w:spacing w:after="80" w:before="80"/>
            </w:pPr>
            <w:r>
              <w:rPr>
                <w:b w:val="0"/>
                <w:color w:val="000000"/>
                <w:sz w:val="20"/>
              </w:rPr>
              <w:t>241</w:t>
            </w:r>
          </w:p>
        </w:tc>
      </w:tr>
    </w:tbl>
    <w:p>
      <w:r/>
    </w:p>
    <w:p>
      <w:pPr>
        <w:pStyle w:val="Heading2"/>
      </w:pPr>
      <w:r>
        <w:t>Architecture</w:t>
      </w:r>
    </w:p>
    <w:p>
      <w:r>
        <w:t>SAP table → B_ Basic → I_ Interface → C_ Consumption</w:t>
      </w:r>
    </w:p>
    <w:p>
      <w:r>
        <w:t>Basic reads native tables and preserves their data grain. Composite exposes business columns and relationships. Consumption provides the documented export structures. Repeating children remain separate and follow the selected parent population.</w:t>
      </w:r>
    </w:p>
    <w:p>
      <w:pPr>
        <w:pStyle w:val="Heading2"/>
      </w:pPr>
      <w:r>
        <w:t>Delivery contents</w:t>
      </w:r>
    </w:p>
    <w:p>
      <w:r>
        <w:t>Included are CDS sources, abapGit metadata, field mappings, activation order, scope documentation, license and a VDM map. Python tools support source selection and preparation. Optional ABAP reports are created separately in SE38.</w:t>
      </w:r>
    </w:p>
    <w:p>
      <w:r>
        <w:t>The license allows unlimited use and modification for internal and client implementations. Resale of the template library is excluded. See docs/LICENSE.md for the terms.</w:t>
      </w:r>
    </w:p>
    <w:p>
      <w:r/>
    </w:p>
    <w:p>
      <w:pPr>
        <w:pStyle w:val="Heading1"/>
        <w:pageBreakBefore/>
      </w:pPr>
      <w:r>
        <w:t>Installation and use</w:t>
      </w:r>
    </w:p>
    <w:p>
      <w:r>
        <w:t>1. Extract the SOURCE archive and import it into your source system.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Apply the selected source population consistently to masters and children. Preserve internal keys, languages, validity intervals and relationships.</w:t>
      </w:r>
    </w:p>
    <w:p>
      <w:r>
        <w:t>7. Implement target creation, transaction handling and error recovery through an appropriate SAP API or BAPI. Do not write directly to application tables.</w:t>
      </w:r>
    </w:p>
    <w:p>
      <w:pPr>
        <w:pStyle w:val="Heading2"/>
      </w:pPr>
      <w:r>
        <w:t>Module selection</w:t>
      </w:r>
    </w:p>
    <w:p>
      <w:r>
        <w:t>python build_package.py --product eam_mig_ecc equipment --out source.zip</w:t>
      </w:r>
    </w:p>
    <w:p>
      <w:r>
        <w:t>Run the builder in the GitHub checkout on your workstation. Required modules are included automatically. For the complete product use --all instead of a module name. An individual view needs every referenced view.</w:t>
      </w:r>
    </w:p>
    <w:p>
      <w:r/>
    </w:p>
    <w:p>
      <w:pPr>
        <w:pStyle w:val="Heading1"/>
        <w:pageBreakBefore/>
      </w:pPr>
      <w:r>
        <w:t>Scope and business rules</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Module</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33</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37</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26</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28</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15</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7</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30</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16</w:t>
            </w:r>
          </w:p>
        </w:tc>
      </w:tr>
    </w:tbl>
    <w:p>
      <w:r/>
    </w:p>
    <w:p>
      <w:r>
        <w:t>Equipment and functional locations provide standard addresses, texts, partners, active statuses, user statuses with profiles, classes and characteristic values. Address versions, email, phone and fax remain separate children. Functional locations provide native BOM assignments. Orders and notifications have dedicated partner and status exports. Use full cutover snapshots; system statuses remain reference data. See docs/EQUIPMENT_ARCHITECTURE.md and docs/CUSTOMER_WORKFLOW.md.</w:t>
      </w:r>
    </w:p>
    <w:p>
      <w:r>
        <w:t>Complete module and field lists are in docs/SUPPORTED_SCOPE.md, mapping and FIELD_CATALOG.csv. VDM.html shows object dependencies. The templates contain no automatic posting implementation and do not promise coverage of every SAP feature.</w:t>
      </w:r>
    </w:p>
    <w:p>
      <w:pPr>
        <w:pStyle w:val="Heading1"/>
      </w:pPr>
      <w:r>
        <w:t>Master records and child structures</w:t>
      </w:r>
    </w:p>
    <w:p>
      <w:r>
        <w:t>Masters remain unique; repeating texts, partners, statuses and organizational data retain separate structures and complete keys. customer/parent-relationships.json limits children to selected parents. Missing standard addresses preserve the master. SAP generates system statuses and technical target IDs. docs/OBJECT_COVERAGE.md lists the exact objects and fields. Long-text indexes require full SAPscript identities and explicit owner links; READ_TEXT supplies content and format. Follow docs/LONG_TEXT_WORKFLOW.md. Map source fields against the chosen supported target interface.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