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EWM TM FSCM EHS native migration drafts</w:t>
      </w:r>
    </w:p>
    <w:p>
      <w:r>
        <w:t>Version 0.3.0 | 11 October 2026 | KAOURI INNOVATECH</w:t>
      </w:r>
    </w:p>
    <w:p>
      <w:r>
        <w:t>This edition replaces the staging drafts from 0.1.0. Documented structures read native SAP system tables through Basic, Composite and Consumption views. Target comparison views also read native tables. The pack is incomplete and has not been verified in SAP.</w:t>
      </w:r>
    </w:p>
    <w:tbl>
      <w:tblPr>
        <w:tblW w:type="auto" w:w="0"/>
        <w:tblLayout w:type="fixed"/>
        <w:tblLook w:firstColumn="1" w:firstRow="1" w:lastColumn="0" w:lastRow="0" w:noHBand="0" w:noVBand="1" w:val="04A0"/>
      </w:tblPr>
      <w:tblGrid>
        <w:gridCol w:w="3288"/>
        <w:gridCol w:w="3288"/>
        <w:gridCol w:w="3288"/>
      </w:tblGrid>
      <w:tr>
        <w:trPr>
          <w:tblHeade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Domain</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drafts</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Pending</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EWM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7</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9</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TM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7</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12</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FSCM</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7</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7</w:t>
            </w:r>
          </w:p>
        </w:tc>
      </w:tr>
      <w:tr>
        <w:trPr>
          <w:cantSplit/>
        </w:trPr>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EHS</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6</w:t>
            </w:r>
          </w:p>
        </w:tc>
        <w:tc>
          <w:tcPr>
            <w:tcW w:type="dxa" w:w="328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17</w:t>
            </w:r>
          </w:p>
        </w:tc>
      </w:tr>
    </w:tbl>
    <w:p/>
    <w:p>
      <w:r>
        <w:t>There are 27 native structure drafts and 45 pending structures in the existing 32-module plan. Native drafts also have missing payload; Native-Coverage.csv and the product manuals list the details. The 140 CDS objects contain no customer staging tables or write loaders.</w:t>
      </w:r>
    </w:p>
    <w:p>
      <w:pPr>
        <w:pStyle w:val="Heading2"/>
      </w:pPr>
      <w:r>
        <w:t>EWM storage bin example</w:t>
      </w:r>
    </w:p>
    <w:p>
      <w:r>
        <w:t>/SCWM/LAGP → ZWMX_I_StorageBinData → ZWMX_I_StorageBin → ZWMX_C_StorageBinMig</w:t>
      </w:r>
    </w:p>
    <w:p>
      <w:r>
        <w:t>Basic preserves native fields and keys. Composite exposes the same records with business column names. Consumption provides the documented export structure. No extra Z staging table is required.</w:t>
      </w:r>
    </w:p>
    <w:p>
      <w:pPr>
        <w:pStyle w:val="Heading2"/>
      </w:pPr>
      <w:r>
        <w:t>Evidence and limits</w:t>
      </w:r>
    </w:p>
    <w:p>
      <w:r>
        <w:t>Public SAP sources document tables and field usage. They do not confirm complete DDIC keys or release compatibility in the customer system. Activation, authorization and business completeness remain unverified. No posting adapter is included.</w:t>
      </w:r>
    </w:p>
    <w:p>
      <w:r>
        <w:br w:type="page"/>
      </w:r>
    </w:p>
    <w:p>
      <w:pPr>
        <w:pStyle w:val="Heading1"/>
      </w:pPr>
      <w:r>
        <w:t>Installation and validation</w:t>
      </w:r>
    </w:p>
    <w:p>
      <w:r>
        <w:t>1. Confirm application and release. EWM is distinct from LE-WM; classic EHS specifications are distinct from modern EHSM incidents. Native tables must exist.</w:t>
      </w:r>
    </w:p>
    <w:p>
      <w:r>
        <w:t>2. Verify every field and the complete keys in SE11/ADT. Use the native read helper to export actual DDIC metadata; run migration_ddic.py against the .fields.csv.</w:t>
      </w:r>
    </w:p>
    <w:p>
      <w:r>
        <w:t>3. Import source and target ZIPs separately. Follow ACTIVATION_ORDER.txt. Source uses classic CDS; target uses view entities. Confirm key and release assumptions before activation.</w:t>
      </w:r>
    </w:p>
    <w:p>
      <w:r>
        <w:t>4. Test permitted and restricted users and client isolation. No DCL is supplied. S_TABU_NAM in the report does not automatically protect every CDS consumer.</w:t>
      </w:r>
    </w:p>
    <w:p>
      <w:r>
        <w:t>5. Export consumption rows with CDS aliases. Record system, client, export time and population separately. The table helper exports raw columns without consumption filters.</w:t>
      </w:r>
    </w:p>
    <w:p>
      <w:r>
        <w:t>6. Fill customer/selection with approved complete keys. Run migration_run.py with customer/customer-cohort-project.json. Empty selections yield zero rows.</w:t>
      </w:r>
    </w:p>
    <w:p>
      <w:r>
        <w:t>7. Export the same target population. Map changed numbers and regenerated UUIDs before comparison and retain the mapping ledger. Use migration_prepare.py compare.</w:t>
      </w:r>
    </w:p>
    <w:p>
      <w:r>
        <w:t>8. Approve status, cutover, parent/child relationships and missing payload. Preserve EHS change states; confirm TM categories and case types. Count views count broad candidate populations.</w:t>
      </w:r>
    </w:p>
    <w:p>
      <w:r>
        <w:t>9. Record actual SAP evidence in customer/TEST_RESULTS.csv. Synthetic CSV examples test local tools only and must never be loaded into SAP.</w:t>
      </w:r>
    </w:p>
    <w:p>
      <w:r>
        <w:br w:type="page"/>
      </w:r>
    </w:p>
    <w:p>
      <w:pPr>
        <w:pStyle w:val="Heading1"/>
      </w:pPr>
      <w:r>
        <w:t>EWM</w:t>
      </w:r>
    </w:p>
    <w:p>
      <w:r>
        <w:t>7 native drafts; 9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StorageBin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/SCWM/LAGP</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 StorageBin</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BinSorting</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/SCWM/LAGPS</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Warehouse, StorageBin, ActivityArea, Activity</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WarehouseTask</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/SCWM/ORDIM_O</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 WarehouseTask</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TaskConfirm</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/SCWM/ORDIM_C</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Warehouse, WarehouseTask, WarehouseTaskItem</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WarehouseOrder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/SCWM/WHO</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Warehouse, WarehouseOrder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WhDelivery</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/SCDL/DB_PROCH_I</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DeliveryUUID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WhDeliveryItem</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/SCDL/DB_PROCI_I</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DeliveryUUID, DeliveryItemUUID</w:t>
            </w:r>
          </w:p>
        </w:tc>
      </w:tr>
    </w:tbl>
    <w:p/>
    <w:p>
      <w:pPr>
        <w:pStyle w:val="Heading2"/>
      </w:pPr>
      <w:r>
        <w:t>Pending structures</w:t>
      </w:r>
    </w:p>
    <w:p>
      <w:r>
        <w:t>WarehouseProd, FixedBin, WarehouseStock, StockSerial, HandlingUnit, HUContent, PackSpec, PackLevel, PackElement.</w:t>
      </w:r>
    </w:p>
    <w:p>
      <w:pPr>
        <w:pStyle w:val="Heading2"/>
      </w:pPr>
      <w:r>
        <w:t>Incomplete payload</w:t>
      </w:r>
    </w:p>
    <w:p>
      <w:r>
        <w:t>Capacity semantics and complete operational stock are missing. Confirmed tasks are reference records; Open-task snapshots and inbound delivery drafts are supplied; quantities, outbound delivery branches, warehouse products and complete stock remain pending.</w:t>
      </w:r>
    </w:p>
    <w:p>
      <w:r>
        <w:t>For full field mappings and source evidence, read the product manual, PROVENANCE.md and Native-Coverage.csv.</w:t>
      </w:r>
    </w:p>
    <w:p>
      <w:r>
        <w:t>Products: ewm_mig_src and ewm_mig_s4</w:t>
      </w:r>
    </w:p>
    <w:p>
      <w:r>
        <w:br w:type="page"/>
      </w:r>
    </w:p>
    <w:p>
      <w:pPr>
        <w:pStyle w:val="Heading1"/>
      </w:pPr>
      <w:r>
        <w:t>TM</w:t>
      </w:r>
    </w:p>
    <w:p>
      <w:r>
        <w:t>7 native drafts; 12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TransportLoc</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/SAPAPO/LOC</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LocationUUID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FreightUnit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/SCMTMS/D_TORROT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DocumentUUID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FreightUnitItem</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/SCMTMS/D_TORITE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ItemUUID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FreightUnitStop</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/SCMTMS/D_TORSTP</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StopUUID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FreightOrder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/SCMTMS/D_TORROT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DocumentUUID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FreightOrdItem</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/SCMTMS/D_TORITE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ItemUUID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FreightOrdStop</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/SCMTMS/D_TORSTP</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StopUUID</w:t>
            </w:r>
          </w:p>
        </w:tc>
      </w:tr>
    </w:tbl>
    <w:p/>
    <w:p>
      <w:pPr>
        <w:pStyle w:val="Heading2"/>
      </w:pPr>
      <w:r>
        <w:t>Pending structures</w:t>
      </w:r>
    </w:p>
    <w:p>
      <w:r>
        <w:t>TransportRes, ResCapacity, TransportLane, LaneCarrier, Schedule, ScheduleStop, FreightAgree, FreightRate, FreightScale, FreightStage, FreightSettle, SettleItem.</w:t>
      </w:r>
    </w:p>
    <w:p>
      <w:pPr>
        <w:pStyle w:val="Heading2"/>
      </w:pPr>
      <w:r>
        <w:t>Incomplete payload</w:t>
      </w:r>
    </w:p>
    <w:p>
      <w:r>
        <w:t>Root views do not provide complete freight units or freight orders. Items and stops are category-filtered native drafts. Route order, stages, quantity payload and bookings remain pending. Verify UUIDs and categories.</w:t>
      </w:r>
    </w:p>
    <w:p>
      <w:r>
        <w:t>For full field mappings and source evidence, read the product manual, PROVENANCE.md and Native-Coverage.csv.</w:t>
      </w:r>
    </w:p>
    <w:p>
      <w:r>
        <w:t>Products: tm_mig_src and tm_mig_s4</w:t>
      </w:r>
    </w:p>
    <w:p>
      <w:r>
        <w:br w:type="page"/>
      </w:r>
    </w:p>
    <w:p>
      <w:pPr>
        <w:pStyle w:val="Heading1"/>
      </w:pPr>
      <w:r>
        <w:t>FSCM</w:t>
      </w:r>
    </w:p>
    <w:p>
      <w:r>
        <w:t>7 native drafts; 7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CreditProfile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UKMBP_CMS</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BusinessPartner</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CreditSegment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UKMBP_CMS_SGM</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BusinessPartner, CreditSegment</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CreditExposure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UKM_TOTALS</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BusinessPartner, CreditSegment, ExposureCategory, Currency</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CollectContact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UDM_CCT_ATTR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ContactUUID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PaymentPromise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UDM_P2P_ATTR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CaseUUID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DisputeCase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UDMCASEATTR00</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CaseUUID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CaseAttribute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SCMG_T_CASE_ATTR</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CaseUUID</w:t>
            </w:r>
          </w:p>
        </w:tc>
      </w:tr>
    </w:tbl>
    <w:p/>
    <w:p>
      <w:pPr>
        <w:pStyle w:val="Heading2"/>
      </w:pPr>
      <w:r>
        <w:t>Pending structures</w:t>
      </w:r>
    </w:p>
    <w:p>
      <w:r>
        <w:t>CreditRelation, CollectProfile, CollectSegment, CollectTask, PromiseItem, DisputeItem, CaseAttachment.</w:t>
      </w:r>
    </w:p>
    <w:p>
      <w:pPr>
        <w:pStyle w:val="Heading2"/>
      </w:pPr>
      <w:r>
        <w:t>Incomplete payload</w:t>
      </w:r>
    </w:p>
    <w:p>
      <w:r>
        <w:t>Credit exposure, promise and dispute amounts carry their stored currency. Credit-limit currency context, invoice relations and attachments remain pending. General case attributes include multiple case types.</w:t>
      </w:r>
    </w:p>
    <w:p>
      <w:r>
        <w:t>For full field mappings and source evidence, read the product manual, PROVENANCE.md and Native-Coverage.csv.</w:t>
      </w:r>
    </w:p>
    <w:p>
      <w:r>
        <w:t>Products: fscm_mig_src and fscm_mig_s4</w:t>
      </w:r>
    </w:p>
    <w:p>
      <w:r>
        <w:br w:type="page"/>
      </w:r>
    </w:p>
    <w:p>
      <w:pPr>
        <w:pStyle w:val="Heading1"/>
      </w:pPr>
      <w:r>
        <w:t>EHS</w:t>
      </w:r>
    </w:p>
    <w:p>
      <w:r>
        <w:t>6 native drafts; 17 pending structures. All SAP checks remain outstanding.</w:t>
      </w:r>
    </w:p>
    <w:tbl>
      <w:tblPr>
        <w:tblW w:type="auto" w:w="0"/>
        <w:tblLayout w:type="fixed"/>
        <w:tblLook w:firstColumn="1" w:firstRow="1" w:lastColumn="0" w:lastRow="0" w:noHBand="0" w:noVBand="1" w:val="04A0"/>
      </w:tblPr>
      <w:tblGrid>
        <w:gridCol w:w="2381"/>
        <w:gridCol w:w="3458"/>
        <w:gridCol w:w="4025"/>
      </w:tblGrid>
      <w:tr>
        <w:trPr>
          <w:tblHeade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Structure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Native table</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273D50"/>
          </w:tcPr>
          <w:p>
            <w:pPr>
              <w:spacing w:after="80" w:before="80"/>
            </w:pPr>
            <w:r>
              <w:rPr>
                <w:b/>
                <w:color w:val="FFFFFF"/>
                <w:sz w:val="20"/>
              </w:rPr>
              <w:t>Draft keys</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Specification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ESTRH</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SpecIdentifier</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ESTRI</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Phrase</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ESTPH</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PhraseSet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ESTPJ</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RecordNumber, ChangeState</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Incident</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EHHSSD_INC_ROOT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2F5F7"/>
          </w:tcPr>
          <w:p>
            <w:pPr>
              <w:spacing w:after="80" w:before="80"/>
            </w:pPr>
            <w:r>
              <w:rPr>
                <w:b w:val="0"/>
                <w:color w:val="000000"/>
                <w:sz w:val="20"/>
              </w:rPr>
              <w:t>IncidentUUID</w:t>
            </w:r>
          </w:p>
        </w:tc>
      </w:tr>
      <w:tr>
        <w:trPr>
          <w:cantSplit/>
        </w:trPr>
        <w:tc>
          <w:tcPr>
            <w:tcW w:type="dxa" w:w="2381"/>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IncidentAction</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EHHSSD_IAC_ROOT</w:t>
            </w:r>
          </w:p>
        </w:tc>
        <w:tc>
          <w:tcPr>
            <w:tcW w:type="dxa" w:w="4025"/>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80" w:before="80"/>
            </w:pPr>
            <w:r>
              <w:rPr>
                <w:b w:val="0"/>
                <w:color w:val="000000"/>
                <w:sz w:val="20"/>
              </w:rPr>
              <w:t>ActionUUID</w:t>
            </w:r>
          </w:p>
        </w:tc>
      </w:tr>
    </w:tbl>
    <w:p/>
    <w:p>
      <w:pPr>
        <w:pStyle w:val="Heading2"/>
      </w:pPr>
      <w:r>
        <w:t>Pending structures</w:t>
      </w:r>
    </w:p>
    <w:p>
      <w:r>
        <w:t>EHSLocation, EHSLocHierarchy, ChemicalProp, PropertyUnit, SpecProperty, IncidentPerson, RiskAssessment, RiskHazard, RiskControl, DataClassifier, DataCollection, Measurement, ComplianceReq, ComplianceScen, ComplianceLink, DangerousGoods, DGTransport.</w:t>
      </w:r>
    </w:p>
    <w:p>
      <w:pPr>
        <w:pStyle w:val="Heading2"/>
      </w:pPr>
      <w:r>
        <w:t>Incomplete payload</w:t>
      </w:r>
    </w:p>
    <w:p>
      <w:r>
        <w:t>RECN and ACTN retain change-state identity. No unverified current-record filter is applied. Phrases supply header/assignment data; multilingual text and properties remain pending. Incident and action roots are supplied; action-to-incident reference resolution, people and risk/environmental/compliance models remain pending.</w:t>
      </w:r>
    </w:p>
    <w:p>
      <w:r>
        <w:t>For full field mappings and source evidence, read the product manual, PROVENANCE.md and Native-Coverage.csv.</w:t>
      </w:r>
    </w:p>
    <w:p>
      <w:r>
        <w:t>Products: ehs_mig_src and ehs_mig_s4</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EWM TM FSCM EHS native migration drafts</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