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25 kljucnih reci u java progrmskom jeziku: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1.int skracenica  od intiger sluzi sa upisivanje celih brojeva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2.double - sluzi za upisivanje decimalnih brrojeva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char - se koristi prilikom unosenja karaktera obicno su to sliva ali samo jedno slovo i stavljaju se jednosttruki znaci navoda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String- sluzi za upisavanje skuupa karaktera tacnije reci i stavljuj se dvostruki navodnici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5.main- ulayna glavna tacka za racunar.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7.else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8.case.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9.switch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10.default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12.break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13.out.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14.package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16.import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17.statich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18.void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19.boolean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20.return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21.new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22.for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23.if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24.public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25.long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Sintaksa1: Napisati program koji ce racunati povrsinu okrecene prostorije, tako sto se ivice prostorije ucitavaju preko konzole. (za pretpostavku uzeti da prostorija ima zidove oblika pravougaonika i da nema prozora i vrata).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