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OMSe orders &amp; you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Phone feature change examples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This document is to show examples of what is necessary for multiple changes in phone provisioning, without requiring autocomplete. These examples are all done in OMSe, and can change block/allow status for all features such as international calling, call forwarding, and can remove numbers from call blocking.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necessary in all orders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(Type Switch, of course this won't work with voicemail orders)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Update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Due Date(today)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Account Number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Service ID(TN)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Telephone Number to make changes upon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Calling features</w:t>
      </w:r>
      <w:r>
        <w:rPr>
          <w:b/>
          <w:bCs/>
          <w:sz w:val="24"/>
          <w:szCs w:val="24"/>
        </w:rPr>
        <w:t>(BLOCK)</w:t>
      </w:r>
      <w:r>
        <w:rPr>
          <w:b/>
          <w:bCs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976(you know what these are)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900(you know what these are)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CASUAL(ADDL Charges, will automatically set all others to Y if this is Y)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DA(Directory Assistance(charge, local))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INTL(International)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NDA(Directory Assistance(charge, national))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411(allow ability to call directory assistance)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0+(Collect calls)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*List of Forwarding features: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CFNA(Call Forward No Answer):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Active(Y/N)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Forward(TN)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NumberOfRings(0-10)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CFB(Call Forward Busy)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Active(Y/N)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Forward(TN)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CFU(Call Forward Unconditional)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Active(Y/N)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Forward(TN)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*Note that they will appear to have an attribute of Forward(TN) to be forwarded to. This is a trick. The real attribute is FDN/0, which upon you would place the TN when creating these.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 of Call Acceptance/Call Block features: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SCA(Acceptance, whitelist)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SCR(Rejection, blacklist)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Active(Y/N)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number(TN)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*Note I have yet to figure out how to </w:t>
      </w:r>
      <w:r>
        <w:rPr>
          <w:b/>
          <w:bCs/>
          <w:sz w:val="24"/>
          <w:szCs w:val="24"/>
        </w:rPr>
        <w:t>add</w:t>
      </w:r>
      <w:r>
        <w:rPr>
          <w:b w:val="false"/>
          <w:bCs w:val="false"/>
          <w:sz w:val="24"/>
          <w:szCs w:val="24"/>
        </w:rPr>
        <w:t xml:space="preserve"> numbers to this list. I have figured out how to remove them though.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features and attributes: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SIMULRING(answer anywhere)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active(Y/N)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number(TN)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*Note that TN 6467988400 is Nomorobo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DRCW(Distinctive Ring(Call Waiting, but works for normal calls as well as busy calls))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active(Y/N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number(TN)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Block/Allow calling features: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a Provisioning Order, Type Switch, for whatever area your account is in.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ACP/Update/DD/Acct#/ServiceID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Equipment and click Order→Add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Equipment Details and click Order→Add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TN and click Order→Add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Select the </w:t>
      </w:r>
      <w:r>
        <w:rPr>
          <w:b/>
          <w:bCs/>
          <w:sz w:val="24"/>
          <w:szCs w:val="24"/>
        </w:rPr>
        <w:t>Second</w:t>
      </w:r>
      <w:r>
        <w:rPr>
          <w:b w:val="false"/>
          <w:bCs w:val="false"/>
          <w:sz w:val="24"/>
          <w:szCs w:val="24"/>
        </w:rPr>
        <w:t xml:space="preserve"> TN and place the TN in the TN# field, do not fill out any other fields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the Feature folder and click Order→Add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 the </w:t>
      </w:r>
      <w:r>
        <w:rPr>
          <w:b/>
          <w:bCs/>
          <w:sz w:val="24"/>
          <w:szCs w:val="24"/>
        </w:rPr>
        <w:t>Second</w:t>
      </w:r>
      <w:r>
        <w:rPr>
          <w:b w:val="false"/>
          <w:bCs w:val="false"/>
          <w:sz w:val="24"/>
          <w:szCs w:val="24"/>
        </w:rPr>
        <w:t xml:space="preserve"> Feature Folder, name it(Feature Code) “BLOCK”, all captials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Select Attributes and click Order→Add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Name your Attribute exactly after one of the calling features listed above; INTL for international, 900 or 976 for 900 numbers, etc. You may add more than one feature code change to a single order, but the example will only have INTL.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Note that the Value must be N to allow that feature. Y is to block it so people may not use that feature.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 below</w:t>
      </w:r>
      <w:r>
        <w:rPr>
          <w:b w:val="false"/>
          <w:bCs w:val="false"/>
          <w:sz w:val="24"/>
          <w:szCs w:val="24"/>
        </w:rPr>
        <w:t>(next page)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-64135</wp:posOffset>
            </wp:positionV>
            <wp:extent cx="6332220" cy="7035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03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 can be seen, the order type is Update, there is a feature attribute of INTL(N) under the BLOCK section of Features, and the TN has a phone number filled out but does not have any other details listed. This order will unblock(allow) International calling for the account.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Deleting TN(s) from SCR/SCA: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Create an order as above; However, you will change Action under Update to: “Delete Specific” and you will change the Feature to either SCR or SCA. No attribute is required to remove numbers from these lists, as it removes </w:t>
      </w:r>
      <w:r>
        <w:rPr>
          <w:b/>
          <w:bCs/>
          <w:sz w:val="24"/>
          <w:szCs w:val="24"/>
        </w:rPr>
        <w:t>all</w:t>
      </w:r>
      <w:r>
        <w:rPr>
          <w:b w:val="false"/>
          <w:bCs w:val="false"/>
          <w:sz w:val="24"/>
          <w:szCs w:val="24"/>
        </w:rPr>
        <w:t xml:space="preserve"> numbers from these lists. Afterwards you would have to manually re-enter the numbers into OBO for the customer.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should only be used when OBO is not allowing you to add/remove numbers from the call blocking/acceptance lists. Deleting and restoring the lists fixes the problem.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69215</wp:posOffset>
            </wp:positionV>
            <wp:extent cx="4791075" cy="6709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Placing a number into Call Forwarding status: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an order like you are changing a feature, however, the feature folder is going to be names CFU, CFB, or CFNA. Unconditional, Busy, and No Answer, respectively.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Once created, set the Attributes as active(Y/N) to turn it on or off, and set the forward to FDN/0(TN) so that it updates the number to forward(TN) in a service query.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68950" cy="7184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Changing all other features follow the same exact method as changing calling features; You just name the feature itself something other than BLOCK; CFNA for call forward no answer, etc. Then set up the Attributes. </w:t>
      </w:r>
      <w:r>
        <w:rPr>
          <w:b w:val="false"/>
          <w:bCs w:val="false"/>
          <w:sz w:val="24"/>
          <w:szCs w:val="24"/>
        </w:rPr>
        <w:t>The examples above are the three types of update orders you would create. Either update, delete, or update and forward(special case with FDN/0).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Once done, of course you save and provision the order. There should be no errors so long as you fill out the fields as shown above.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LibreOffice/5.0.4.2$Windows_x86 LibreOffice_project/2b9802c1994aa0b7dc6079e128979269cf95bc78</Application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2016-05-27T06:32:11Z</dcterms:created>
  <dc:language>en-US</dc:language>
  <dcterms:modified xsi:type="dcterms:W3CDTF">2016-05-27T07:51:00Z</dcterms:modified>
  <cp:revision>4</cp:revision>
</cp:coreProperties>
</file>