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48"/>
          <w:szCs w:val="48"/>
        </w:rPr>
      </w:pPr>
      <w:r>
        <w:rPr>
          <w:rFonts w:hint="eastAsia"/>
          <w:vanish/>
        </w:rPr>
        <w:cr/>
      </w:r>
      <w:r>
        <w:rPr>
          <w:rFonts w:hint="eastAsia"/>
          <w:vanish/>
        </w:rPr>
        <w:t>面e mian</w:t>
      </w:r>
      <w:r>
        <w:rPr>
          <w:rFonts w:hint="eastAsia"/>
          <w:vanish/>
        </w:rPr>
        <w:pgNum/>
      </w:r>
      <w:r>
        <w:rPr>
          <w:rFonts w:hint="eastAsia"/>
          <w:vanish/>
        </w:rPr>
        <w:t>﷽﷽﷽﷽﷽﷽﷽﷽﷽﷽﷽﷽﷽﷽﷽﷽﷽</w:t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  <w:r>
        <w:rPr>
          <w:rFonts w:hint="eastAsia"/>
          <w:vanish/>
        </w:rPr>
        <w:pgNum/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333375</wp:posOffset>
                </wp:positionV>
                <wp:extent cx="1943100" cy="3749675"/>
                <wp:effectExtent l="0" t="0" r="0" b="952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374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default"/>
                                <w:sz w:val="72"/>
                                <w:szCs w:val="72"/>
                                <w:lang w:val="en-US" w:eastAsia="zh-CN"/>
                              </w:rPr>
                              <w:t>mart</w:t>
                            </w:r>
                            <w:r>
                              <w:rPr>
                                <w:rFonts w:hint="default"/>
                                <w:sz w:val="72"/>
                                <w:szCs w:val="72"/>
                                <w:lang w:val="en-US"/>
                              </w:rPr>
                              <w:t>Quant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  <w:lang w:val="en-US" w:eastAsia="zh-CN"/>
                              </w:rPr>
                              <w:t>系统人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机</w:t>
                            </w:r>
                          </w:p>
                          <w:p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交互设计描述文档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60.75pt;margin-top:26.25pt;height:295.25pt;width:153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lb4jz9gAAAAK&#10;AQAADwAAAGRycy9kb3ducmV2LnhtbE2PT0vEMBDF74LfIYzgzU3a3a5Smy4oCOJFrP+u2Sa2xWQS&#10;knS3++0dT3qaebzHm980u8VZdjAxTR4lFCsBzGDv9YSDhLfXh6sbYCkr1Mp6NBJOJsGuPT9rVK39&#10;EV/MocsDoxJMtZIw5hxqzlM/GqfSygeD5H356FQmGQeuozpSubO8FGLLnZqQLowqmPvR9N/d7CTM&#10;66fFvnd3OjyLx0/nYvVxUkHKy4tC3ALLZsl/YfjFJ3RoiWnvZ9SJWdJlUVFUQlXSpMCmvKZlL2G7&#10;WQvgbcP/v9D+AFBLAwQUAAAACACHTuJAwiSG4vQBAAC8AwAADgAAAGRycy9lMm9Eb2MueG1srVNB&#10;btswELwX6B8I3mtJjhLXguUgSJCiQNoGSPsAmqIsohKXWNKW3Ae0P+gpl977Lr+jS8pxnfZW9EJw&#10;ucvhzOxycTl0LdsqdBpMybNJypkyEipt1iX/9PH21WvOnBemEi0YVfKdcvxy+fLForeFmkIDbaWQ&#10;EYhxRW9L3nhviyRxslGdcBOwylCyBuyEpxDXSYWiJ/SuTaZpepH0gJVFkMo5Or0Zk3wZ8etaSf+h&#10;rp3yrC05cfNxxbiuwposF6JYo7CNlgca4h9YdEIbevQIdSO8YBvUf0F1WiI4qP1EQpdAXWupogZS&#10;k6V/qHlohFVRC5nj7NEm9/9g5fvtPTJdUe84M6KjFu2/f9s//tz/+MqyYE9vXUFVD/Yeg0Bn70B+&#10;dszAdSPMWl0hQt8oURGpWJ88uxACR1fZqn8HFaGLjYfo1FBjFwDJAzbEhuyODVGDZ5IOs3l+lqXU&#10;N0m5s1k+v5idB06JKJ6uW3T+jYKOhU3JkToe4cX2zvmx9KkkvGbgVrdt7Hprnh0QZjiJ9APjUbkf&#10;VsPBhBVUOxKCMA4RDT1tGsAvnPU0QCU3NOGctW8NWTHP8jzMWwzy89mUAjzNrE4zwkgCKrnnbNxe&#10;+3FGNxb1uqF3sijKwBXZV+soLFg7cjqwphGJ1hzGOczgaRyrfn+6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viPP2AAAAAoBAAAPAAAAAAAAAAEAIAAAACIAAABkcnMvZG93bnJldi54bWxQSwEC&#10;FAAUAAAACACHTuJAwiSG4vQBAAC8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S</w:t>
                      </w:r>
                      <w:r>
                        <w:rPr>
                          <w:rFonts w:hint="default"/>
                          <w:sz w:val="72"/>
                          <w:szCs w:val="72"/>
                          <w:lang w:val="en-US" w:eastAsia="zh-CN"/>
                        </w:rPr>
                        <w:t>mart</w:t>
                      </w:r>
                      <w:r>
                        <w:rPr>
                          <w:rFonts w:hint="default"/>
                          <w:sz w:val="72"/>
                          <w:szCs w:val="72"/>
                          <w:lang w:val="en-US"/>
                        </w:rPr>
                        <w:t>Quant</w:t>
                      </w:r>
                      <w:r>
                        <w:rPr>
                          <w:rFonts w:hint="eastAsia"/>
                          <w:sz w:val="72"/>
                          <w:szCs w:val="72"/>
                          <w:lang w:val="en-US" w:eastAsia="zh-CN"/>
                        </w:rPr>
                        <w:t>系统人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>机</w:t>
                      </w:r>
                    </w:p>
                    <w:p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交互设计描述文档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学校： 南京大学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院系： 软件学院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编写小组： 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tbl>
      <w:tblPr>
        <w:tblStyle w:val="18"/>
        <w:tblW w:w="851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3727"/>
        <w:gridCol w:w="212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/>
            <w:r>
              <w:rPr>
                <w:rFonts w:hint="eastAsia"/>
              </w:rPr>
              <w:t>更新人员</w:t>
            </w:r>
          </w:p>
        </w:tc>
        <w:tc>
          <w:tcPr>
            <w:tcW w:w="1418" w:type="dxa"/>
          </w:tcPr>
          <w:p>
            <w:pPr/>
            <w:r>
              <w:rPr>
                <w:rFonts w:hint="eastAsia"/>
              </w:rPr>
              <w:t>更新日期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更新内容</w:t>
            </w:r>
          </w:p>
        </w:tc>
        <w:tc>
          <w:tcPr>
            <w:tcW w:w="2129" w:type="dxa"/>
          </w:tcPr>
          <w:p>
            <w:pPr/>
            <w:r>
              <w:rPr>
                <w:rFonts w:hint="eastAsia"/>
              </w:rPr>
              <w:t>更新版本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邓逸鹏</w:t>
            </w:r>
          </w:p>
        </w:tc>
        <w:tc>
          <w:tcPr>
            <w:tcW w:w="1418" w:type="dxa"/>
          </w:tcPr>
          <w:p>
            <w:pPr/>
            <w: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t>/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727" w:type="dxa"/>
          </w:tcPr>
          <w:p>
            <w:pPr/>
            <w:r>
              <w:rPr>
                <w:rFonts w:hint="eastAsia"/>
              </w:rPr>
              <w:t>构建了文档</w:t>
            </w:r>
            <w:r>
              <w:rPr>
                <w:rFonts w:hint="eastAsia"/>
                <w:lang w:val="en-US" w:eastAsia="zh-CN"/>
              </w:rPr>
              <w:t>的基本内容</w:t>
            </w:r>
          </w:p>
        </w:tc>
        <w:tc>
          <w:tcPr>
            <w:tcW w:w="2129" w:type="dxa"/>
          </w:tcPr>
          <w:p>
            <w:pPr/>
            <w:r>
              <w:rPr>
                <w:rFonts w:hint="eastAsia"/>
              </w:rPr>
              <w:t>v0.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/>
    </w:p>
    <w:p>
      <w:pPr/>
    </w:p>
    <w:p>
      <w:pPr/>
    </w:p>
    <w:p>
      <w:pPr>
        <w:pStyle w:val="10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_Toc15065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1 引言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_Toc15065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_Toc12473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1.1目的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_Toc12473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_Toc4815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1.2导读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_Toc4815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_Toc25753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1.3文档约定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_Toc25753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_Toc32137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1.4感谢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_Toc32137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_Toc25724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1.5参考文献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_Toc25724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_Toc17486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2 导航设计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_Toc17486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_Toc10502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2.1股票信息查询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_Toc10502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_Toc26561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2.</w:t>
      </w:r>
      <w:r>
        <w:rPr>
          <w:rFonts w:hint="default" w:ascii="Cambria" w:hAnsi="Cambria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大盘信息查询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_Toc26561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3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_Toc14494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2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.</w:t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3分类推荐信息查询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_Toc14494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_Toc25553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 xml:space="preserve">3 </w:t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界面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设计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_Toc25553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_Toc31239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3.1市场界面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_Toc31239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_Toc23653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3.2个股表格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_Toc23653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_Toc16637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3.3个股K线图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_Toc16637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_Toc16396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3.4个股均幅指数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_Toc16396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_Toc3212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3.5大盘表格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_Toc3212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_Toc6516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ambria" w:hAnsi="Cambria" w:eastAsia="宋体" w:cs="Times New Roman"/>
          <w:kern w:val="2"/>
          <w:szCs w:val="24"/>
          <w:lang w:val="en-US" w:eastAsia="zh-CN" w:bidi="ar-SA"/>
        </w:rPr>
        <w:t>3.6</w:t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大盘K线图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_Toc6516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0"/>
        </w:tabs>
        <w:rPr>
          <w:rFonts w:ascii="Cambria" w:hAnsi="Cambria" w:eastAsia="宋体" w:cs="Times New Roman"/>
          <w:kern w:val="2"/>
          <w:szCs w:val="24"/>
          <w:lang w:val="en-US" w:eastAsia="zh-CN" w:bidi="ar-SA"/>
        </w:rPr>
      </w:pP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HYPERLINK \l _Toc27955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ambria" w:hAnsi="Cambria" w:eastAsia="宋体" w:cs="Times New Roman"/>
          <w:kern w:val="2"/>
          <w:szCs w:val="24"/>
          <w:lang w:val="en-US" w:eastAsia="zh-CN" w:bidi="ar-SA"/>
        </w:rPr>
        <w:t>3.7</w:t>
      </w:r>
      <w:r>
        <w:rPr>
          <w:rFonts w:hint="eastAsia" w:ascii="Cambria" w:hAnsi="Cambria" w:eastAsia="宋体" w:cs="Times New Roman"/>
          <w:kern w:val="2"/>
          <w:szCs w:val="24"/>
          <w:lang w:val="en-US" w:eastAsia="zh-CN" w:bidi="ar-SA"/>
        </w:rPr>
        <w:t>分类推荐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instrText xml:space="preserve"> PAGEREF _Toc27955 </w:instrTex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/>
      <w:r>
        <w:rPr>
          <w:rFonts w:ascii="Cambria" w:hAnsi="Cambria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/>
    </w:p>
    <w:p>
      <w:pPr/>
    </w:p>
    <w:p>
      <w:pPr/>
    </w:p>
    <w:p>
      <w:pPr/>
    </w:p>
    <w:p>
      <w:pPr/>
    </w:p>
    <w:p>
      <w:pPr/>
    </w:p>
    <w:p>
      <w:pPr>
        <w:outlineLvl w:val="0"/>
        <w:rPr>
          <w:sz w:val="36"/>
          <w:szCs w:val="36"/>
        </w:rPr>
      </w:pPr>
      <w:bookmarkStart w:id="0" w:name="_Toc15065"/>
      <w:r>
        <w:rPr>
          <w:rFonts w:hint="eastAsia"/>
          <w:sz w:val="36"/>
          <w:szCs w:val="36"/>
        </w:rPr>
        <w:t>1 引言</w:t>
      </w:r>
      <w:bookmarkEnd w:id="0"/>
    </w:p>
    <w:p>
      <w:pPr>
        <w:outlineLvl w:val="1"/>
      </w:pPr>
      <w:r>
        <w:rPr>
          <w:rFonts w:hint="eastAsia"/>
        </w:rPr>
        <w:t xml:space="preserve">  </w:t>
      </w:r>
      <w:bookmarkStart w:id="1" w:name="_Toc12473"/>
      <w:r>
        <w:rPr>
          <w:rFonts w:hint="eastAsia"/>
        </w:rPr>
        <w:t>1.1目的</w:t>
      </w:r>
      <w:bookmarkEnd w:id="1"/>
    </w:p>
    <w:p>
      <w:pPr/>
      <w:r>
        <w:rPr>
          <w:rFonts w:hint="eastAsia"/>
        </w:rPr>
        <w:t xml:space="preserve">  本文档作为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martQuant</w:t>
      </w:r>
      <w:r>
        <w:rPr>
          <w:rFonts w:hint="eastAsia"/>
        </w:rPr>
        <w:t>系统的人机交互设计描述文档，通过描述系统与用户的交互实现图形界面的设计。</w:t>
      </w:r>
    </w:p>
    <w:p>
      <w:pPr>
        <w:outlineLvl w:val="1"/>
      </w:pPr>
      <w:r>
        <w:rPr>
          <w:rFonts w:hint="eastAsia"/>
        </w:rPr>
        <w:t xml:space="preserve">  </w:t>
      </w:r>
      <w:bookmarkStart w:id="2" w:name="_Toc4815"/>
      <w:r>
        <w:rPr>
          <w:rFonts w:hint="eastAsia"/>
        </w:rPr>
        <w:t>1.2导读</w:t>
      </w:r>
      <w:bookmarkEnd w:id="2"/>
    </w:p>
    <w:p>
      <w:pPr/>
      <w:r>
        <w:rPr>
          <w:rFonts w:hint="eastAsia"/>
        </w:rPr>
        <w:t xml:space="preserve">  该用例文档分为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个部分，第一部分是引言，主要是介绍文档的基本信息；第二部分是导航设计，是对用例的概括性描述；第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部分是界面原型化，是对系统图形化界面的原型进行描述</w:t>
      </w:r>
    </w:p>
    <w:p>
      <w:pPr>
        <w:outlineLvl w:val="1"/>
      </w:pPr>
      <w:r>
        <w:rPr>
          <w:rFonts w:hint="eastAsia"/>
        </w:rPr>
        <w:t xml:space="preserve">  </w:t>
      </w:r>
      <w:bookmarkStart w:id="3" w:name="_Toc25753"/>
      <w:r>
        <w:rPr>
          <w:rFonts w:hint="eastAsia"/>
        </w:rPr>
        <w:t>1.3文档约定</w:t>
      </w:r>
      <w:bookmarkEnd w:id="3"/>
    </w:p>
    <w:p>
      <w:pPr/>
      <w:r>
        <w:rPr>
          <w:rFonts w:hint="eastAsia"/>
        </w:rPr>
        <w:t xml:space="preserve">   对文档的的任何改动都应经过质量保证人员的统一，详细改动由小组成员共同商议。</w:t>
      </w:r>
    </w:p>
    <w:p>
      <w:pPr>
        <w:outlineLvl w:val="1"/>
      </w:pPr>
      <w:r>
        <w:rPr>
          <w:rFonts w:hint="eastAsia"/>
        </w:rPr>
        <w:t xml:space="preserve">  </w:t>
      </w:r>
      <w:bookmarkStart w:id="4" w:name="_Toc32137"/>
      <w:r>
        <w:rPr>
          <w:rFonts w:hint="eastAsia"/>
        </w:rPr>
        <w:t>1.4感谢</w:t>
      </w:r>
      <w:bookmarkEnd w:id="4"/>
    </w:p>
    <w:p>
      <w:pPr/>
      <w:r>
        <w:rPr>
          <w:rFonts w:hint="eastAsia"/>
        </w:rPr>
        <w:t xml:space="preserve">  本用例文档由小组成员</w:t>
      </w:r>
      <w:r>
        <w:rPr>
          <w:rFonts w:hint="eastAsia"/>
          <w:lang w:val="en-US" w:eastAsia="zh-CN"/>
        </w:rPr>
        <w:t>邓逸鹏</w:t>
      </w:r>
      <w:r>
        <w:rPr>
          <w:rFonts w:hint="eastAsia"/>
        </w:rPr>
        <w:t>编写，何永俊负责审阅，详细用例描述由何永俊、</w:t>
      </w:r>
      <w:r>
        <w:rPr>
          <w:rFonts w:hint="eastAsia"/>
          <w:lang w:val="en-US" w:eastAsia="zh-CN"/>
        </w:rPr>
        <w:t>周畅</w:t>
      </w:r>
      <w:r>
        <w:rPr>
          <w:rFonts w:hint="eastAsia"/>
        </w:rPr>
        <w:t>、邓逸鹏和黄迪璇共同完成，感谢他们的辛勤付出。</w:t>
      </w:r>
    </w:p>
    <w:p>
      <w:pPr>
        <w:outlineLvl w:val="1"/>
      </w:pPr>
      <w:r>
        <w:rPr>
          <w:rFonts w:hint="eastAsia"/>
        </w:rPr>
        <w:t xml:space="preserve">  </w:t>
      </w:r>
      <w:bookmarkStart w:id="5" w:name="_Toc25724"/>
      <w:r>
        <w:rPr>
          <w:rFonts w:hint="eastAsia"/>
        </w:rPr>
        <w:t>1.5参考文献</w:t>
      </w:r>
      <w:bookmarkEnd w:id="5"/>
    </w:p>
    <w:p>
      <w:pPr/>
      <w:r>
        <w:rPr>
          <w:rFonts w:hint="eastAsia"/>
        </w:rPr>
        <w:t xml:space="preserve"> 《软件工程与计算（卷二）——软件开发的技术基础》      机械工程出版社</w:t>
      </w:r>
    </w:p>
    <w:p>
      <w:pPr/>
      <w:r>
        <w:rPr>
          <w:rFonts w:hint="eastAsia"/>
        </w:rPr>
        <w:t xml:space="preserve"> 《</w:t>
      </w:r>
      <w:r>
        <w:rPr>
          <w:rFonts w:hint="default"/>
          <w:lang w:val="en-US"/>
        </w:rPr>
        <w:t>SmartQuant</w:t>
      </w:r>
      <w:r>
        <w:rPr>
          <w:rFonts w:hint="eastAsia"/>
        </w:rPr>
        <w:t>系统用例描述文档》</w:t>
      </w:r>
    </w:p>
    <w:p>
      <w:pPr/>
      <w:r>
        <w:rPr>
          <w:rFonts w:hint="eastAsia"/>
        </w:rPr>
        <w:t xml:space="preserve"> 《</w:t>
      </w:r>
      <w:r>
        <w:rPr>
          <w:rFonts w:hint="default"/>
          <w:lang w:val="en-US"/>
        </w:rPr>
        <w:t>SmartQuant</w:t>
      </w:r>
      <w:r>
        <w:rPr>
          <w:rFonts w:hint="eastAsia"/>
        </w:rPr>
        <w:t>系统软件体系描述文档》</w:t>
      </w:r>
    </w:p>
    <w:p>
      <w:pPr/>
    </w:p>
    <w:p>
      <w:pPr>
        <w:rPr>
          <w:rFonts w:hint="eastAsia"/>
        </w:rPr>
      </w:pPr>
    </w:p>
    <w:p>
      <w:pPr>
        <w:outlineLvl w:val="0"/>
        <w:rPr>
          <w:sz w:val="36"/>
          <w:szCs w:val="36"/>
        </w:rPr>
      </w:pPr>
      <w:bookmarkStart w:id="6" w:name="_Toc17486"/>
      <w:r>
        <w:rPr>
          <w:rFonts w:hint="eastAsia"/>
          <w:sz w:val="36"/>
          <w:szCs w:val="36"/>
        </w:rPr>
        <w:t>2 导航设计</w:t>
      </w:r>
      <w:bookmarkEnd w:id="6"/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7" w:name="_Toc10502"/>
      <w:r>
        <w:rPr>
          <w:rFonts w:hint="eastAsia"/>
        </w:rPr>
        <w:t>2.1</w:t>
      </w:r>
      <w:r>
        <w:rPr>
          <w:rFonts w:hint="eastAsia"/>
          <w:lang w:val="en-US" w:eastAsia="zh-CN"/>
        </w:rPr>
        <w:t>股票信息查询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市场界面：系统默认初始界面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个股界面：独立界面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个股表格：个股界面中的一个组件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个股K线图：个股界面中的一个组件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个股均幅指数：个股界面中的一个组件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5420" cy="2489200"/>
            <wp:effectExtent l="0" t="0" r="11430" b="6350"/>
            <wp:docPr id="32" name="图片 32" descr="个股信息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个股信息交互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default"/>
          <w:lang w:val="en-US"/>
        </w:rPr>
        <w:tab/>
      </w:r>
      <w:bookmarkStart w:id="8" w:name="_Toc26561"/>
      <w:r>
        <w:rPr>
          <w:rFonts w:hint="eastAsia"/>
        </w:rPr>
        <w:t>2.</w:t>
      </w:r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大盘信息查询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市场界面：系统默认初始界面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大盘界面：独立界面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大盘表格：大盘界面中的一个组件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大盘K线图：大盘界面中的一个组件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793875"/>
            <wp:effectExtent l="0" t="0" r="10795" b="15875"/>
            <wp:docPr id="33" name="图片 33" descr="大盘信息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大盘信息交互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9" w:name="_Toc14494"/>
      <w:r>
        <w:rPr>
          <w:rFonts w:hint="eastAsia"/>
        </w:rPr>
        <w:t>2</w:t>
      </w:r>
      <w:r>
        <w:t>.</w:t>
      </w:r>
      <w:r>
        <w:rPr>
          <w:rFonts w:hint="eastAsia"/>
          <w:lang w:val="en-US" w:eastAsia="zh-CN"/>
        </w:rPr>
        <w:t>3分类推荐信息查询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市场界面：系统默认初始界面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大盘界面：独立界面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大盘表格：大盘界面中的一个组件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大盘K线图：大盘界面中的一个组件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61865" cy="1457325"/>
            <wp:effectExtent l="0" t="0" r="635" b="9525"/>
            <wp:docPr id="34" name="图片 34" descr="分类推荐信息交互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分类推荐信息交互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outlineLvl w:val="0"/>
        <w:rPr>
          <w:sz w:val="36"/>
          <w:szCs w:val="36"/>
        </w:rPr>
      </w:pPr>
      <w:bookmarkStart w:id="10" w:name="_Toc25553"/>
      <w:bookmarkStart w:id="18" w:name="_GoBack"/>
      <w:r>
        <w:rPr>
          <w:sz w:val="36"/>
          <w:szCs w:val="36"/>
        </w:rPr>
        <w:t xml:space="preserve">3 </w:t>
      </w:r>
      <w:r>
        <w:rPr>
          <w:rFonts w:hint="eastAsia"/>
          <w:sz w:val="36"/>
          <w:szCs w:val="36"/>
        </w:rPr>
        <w:t>界面</w:t>
      </w:r>
      <w:r>
        <w:rPr>
          <w:sz w:val="36"/>
          <w:szCs w:val="36"/>
        </w:rPr>
        <w:t>设计</w:t>
      </w:r>
      <w:bookmarkEnd w:id="10"/>
    </w:p>
    <w:bookmarkEnd w:id="18"/>
    <w:p>
      <w:pPr>
        <w:ind w:firstLine="420" w:firstLineChars="0"/>
        <w:outlineLvl w:val="1"/>
        <w:rPr>
          <w:rFonts w:hint="eastAsia" w:eastAsia="宋体"/>
          <w:lang w:val="en-US" w:eastAsia="zh-CN"/>
        </w:rPr>
      </w:pPr>
      <w:bookmarkStart w:id="11" w:name="_Toc31239"/>
      <w:r>
        <w:rPr>
          <w:rFonts w:hint="eastAsia"/>
          <w:lang w:val="en-US" w:eastAsia="zh-CN"/>
        </w:rPr>
        <w:t>3.1市场界面</w:t>
      </w:r>
      <w:bookmarkEnd w:id="11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4150" cy="3626485"/>
            <wp:effectExtent l="0" t="0" r="12700" b="12065"/>
            <wp:docPr id="35" name="图片 35" descr="市场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市场界面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2" w:name="_Toc23653"/>
      <w:r>
        <w:rPr>
          <w:rFonts w:hint="eastAsia"/>
          <w:lang w:val="en-US" w:eastAsia="zh-CN"/>
        </w:rPr>
        <w:t>3.2个股表格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26485"/>
            <wp:effectExtent l="0" t="0" r="12700" b="12065"/>
            <wp:docPr id="36" name="图片 36" descr="个股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个股表格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3" w:name="_Toc16637"/>
      <w:r>
        <w:rPr>
          <w:rFonts w:hint="eastAsia"/>
          <w:lang w:val="en-US" w:eastAsia="zh-CN"/>
        </w:rPr>
        <w:t>3.3个股K线图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26485"/>
            <wp:effectExtent l="0" t="0" r="12700" b="12065"/>
            <wp:docPr id="37" name="图片 37" descr="个股K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个股K线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4" w:name="_Toc16396"/>
      <w:r>
        <w:rPr>
          <w:rFonts w:hint="eastAsia"/>
          <w:lang w:val="en-US" w:eastAsia="zh-CN"/>
        </w:rPr>
        <w:t>3.4个股均幅指数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26485"/>
            <wp:effectExtent l="0" t="0" r="12700" b="12065"/>
            <wp:docPr id="38" name="图片 38" descr="个股均幅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个股均幅指数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5" w:name="_Toc3212"/>
      <w:r>
        <w:rPr>
          <w:rFonts w:hint="eastAsia"/>
          <w:lang w:val="en-US" w:eastAsia="zh-CN"/>
        </w:rPr>
        <w:t>3.5大盘表格</w:t>
      </w:r>
      <w:bookmarkEnd w:id="1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26485"/>
            <wp:effectExtent l="0" t="0" r="12700" b="12065"/>
            <wp:docPr id="40" name="图片 40" descr="大盘表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大盘表格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6" w:name="_Toc6516"/>
      <w:r>
        <w:rPr>
          <w:rFonts w:hint="default"/>
          <w:lang w:val="en-US" w:eastAsia="zh-CN"/>
        </w:rPr>
        <w:t>3.6</w:t>
      </w:r>
      <w:r>
        <w:rPr>
          <w:rFonts w:hint="eastAsia"/>
          <w:lang w:val="en-US" w:eastAsia="zh-CN"/>
        </w:rPr>
        <w:t>大盘K线图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26485"/>
            <wp:effectExtent l="0" t="0" r="12700" b="12065"/>
            <wp:docPr id="41" name="图片 41" descr="大盘K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大盘K线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outlineLvl w:val="1"/>
        <w:rPr>
          <w:rFonts w:hint="eastAsia"/>
          <w:lang w:val="en-US" w:eastAsia="zh-CN"/>
        </w:rPr>
      </w:pPr>
      <w:bookmarkStart w:id="17" w:name="_Toc27955"/>
      <w:r>
        <w:rPr>
          <w:rFonts w:hint="default"/>
          <w:lang w:val="en-US" w:eastAsia="zh-CN"/>
        </w:rPr>
        <w:t>3.7</w:t>
      </w:r>
      <w:r>
        <w:rPr>
          <w:rFonts w:hint="eastAsia"/>
          <w:lang w:val="en-US" w:eastAsia="zh-CN"/>
        </w:rPr>
        <w:t>分类推荐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3626485"/>
            <wp:effectExtent l="0" t="0" r="12700" b="12065"/>
            <wp:docPr id="42" name="图片 42" descr="分类推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分类推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footerReference r:id="rId5" w:type="even"/>
      <w:pgSz w:w="11900" w:h="16840"/>
      <w:pgMar w:top="1440" w:right="1800" w:bottom="1440" w:left="1800" w:header="851" w:footer="992" w:gutter="0"/>
      <w:pgNumType w:start="0"/>
      <w:cols w:space="425" w:num="1"/>
      <w:titlePg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1</w:t>
    </w:r>
    <w:r>
      <w:rPr>
        <w:rStyle w:val="16"/>
      </w:rP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8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9"/>
    </w:pPr>
    <w:r>
      <w:rPr>
        <w:rFonts w:hint="eastAsia"/>
      </w:rPr>
      <w:t>快递物流系统人机交互设计描述文档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79"/>
    <w:rsid w:val="00006608"/>
    <w:rsid w:val="000232D8"/>
    <w:rsid w:val="001E7CA6"/>
    <w:rsid w:val="00220D79"/>
    <w:rsid w:val="002A69DB"/>
    <w:rsid w:val="00302E95"/>
    <w:rsid w:val="00314A3A"/>
    <w:rsid w:val="00376EB1"/>
    <w:rsid w:val="003C0580"/>
    <w:rsid w:val="004616EC"/>
    <w:rsid w:val="0051005A"/>
    <w:rsid w:val="00556D7E"/>
    <w:rsid w:val="006134EC"/>
    <w:rsid w:val="00666DCF"/>
    <w:rsid w:val="0069651F"/>
    <w:rsid w:val="0071168D"/>
    <w:rsid w:val="007540FA"/>
    <w:rsid w:val="007C44C2"/>
    <w:rsid w:val="007D2A3A"/>
    <w:rsid w:val="007D45F4"/>
    <w:rsid w:val="007E7A87"/>
    <w:rsid w:val="008457A5"/>
    <w:rsid w:val="008B18DB"/>
    <w:rsid w:val="008C4753"/>
    <w:rsid w:val="008F1236"/>
    <w:rsid w:val="00A94701"/>
    <w:rsid w:val="00A952EC"/>
    <w:rsid w:val="00B71577"/>
    <w:rsid w:val="00B81741"/>
    <w:rsid w:val="00CA4C03"/>
    <w:rsid w:val="00CC1E18"/>
    <w:rsid w:val="00D20B67"/>
    <w:rsid w:val="00DA440B"/>
    <w:rsid w:val="00DD2C01"/>
    <w:rsid w:val="00F02C14"/>
    <w:rsid w:val="00FF276B"/>
    <w:rsid w:val="17C713C2"/>
    <w:rsid w:val="2B314D9D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uiPriority w:val="39"/>
    <w:pPr>
      <w:ind w:left="2520" w:leftChars="1200"/>
    </w:pPr>
  </w:style>
  <w:style w:type="paragraph" w:styleId="3">
    <w:name w:val="toc 5"/>
    <w:basedOn w:val="1"/>
    <w:next w:val="1"/>
    <w:unhideWhenUsed/>
    <w:uiPriority w:val="39"/>
    <w:pPr>
      <w:ind w:left="1680" w:leftChars="800"/>
    </w:pPr>
  </w:style>
  <w:style w:type="paragraph" w:styleId="4">
    <w:name w:val="toc 3"/>
    <w:basedOn w:val="1"/>
    <w:next w:val="1"/>
    <w:unhideWhenUsed/>
    <w:uiPriority w:val="39"/>
    <w:pPr>
      <w:ind w:left="840" w:leftChars="400"/>
    </w:pPr>
  </w:style>
  <w:style w:type="paragraph" w:styleId="5">
    <w:name w:val="toc 8"/>
    <w:basedOn w:val="1"/>
    <w:next w:val="1"/>
    <w:unhideWhenUsed/>
    <w:uiPriority w:val="39"/>
    <w:pPr>
      <w:ind w:left="2940" w:leftChars="1400"/>
    </w:pPr>
  </w:style>
  <w:style w:type="paragraph" w:styleId="6">
    <w:name w:val="Date"/>
    <w:basedOn w:val="1"/>
    <w:next w:val="1"/>
    <w:link w:val="22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1"/>
    <w:unhideWhenUsed/>
    <w:uiPriority w:val="99"/>
    <w:rPr>
      <w:rFonts w:ascii="Heiti SC Light" w:eastAsia="Heiti SC Light"/>
      <w:sz w:val="18"/>
      <w:szCs w:val="18"/>
    </w:rPr>
  </w:style>
  <w:style w:type="paragraph" w:styleId="8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toc 6"/>
    <w:basedOn w:val="1"/>
    <w:next w:val="1"/>
    <w:unhideWhenUsed/>
    <w:uiPriority w:val="39"/>
    <w:pPr>
      <w:ind w:left="2100" w:leftChars="1000"/>
    </w:p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toc 9"/>
    <w:basedOn w:val="1"/>
    <w:next w:val="1"/>
    <w:unhideWhenUsed/>
    <w:uiPriority w:val="39"/>
    <w:pPr>
      <w:ind w:left="3360" w:leftChars="1600"/>
    </w:pPr>
  </w:style>
  <w:style w:type="character" w:styleId="16">
    <w:name w:val="page number"/>
    <w:basedOn w:val="15"/>
    <w:unhideWhenUsed/>
    <w:uiPriority w:val="99"/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字符"/>
    <w:basedOn w:val="15"/>
    <w:link w:val="9"/>
    <w:uiPriority w:val="99"/>
    <w:rPr>
      <w:rFonts w:ascii="Cambria" w:hAnsi="Cambria" w:eastAsia="宋体" w:cs="Times New Roman"/>
      <w:sz w:val="18"/>
      <w:szCs w:val="18"/>
    </w:rPr>
  </w:style>
  <w:style w:type="character" w:customStyle="1" w:styleId="20">
    <w:name w:val="页脚字符"/>
    <w:basedOn w:val="15"/>
    <w:link w:val="8"/>
    <w:qFormat/>
    <w:uiPriority w:val="99"/>
    <w:rPr>
      <w:rFonts w:ascii="Cambria" w:hAnsi="Cambria" w:eastAsia="宋体" w:cs="Times New Roman"/>
      <w:sz w:val="18"/>
      <w:szCs w:val="18"/>
    </w:rPr>
  </w:style>
  <w:style w:type="character" w:customStyle="1" w:styleId="21">
    <w:name w:val="批注框文本字符"/>
    <w:basedOn w:val="15"/>
    <w:link w:val="7"/>
    <w:semiHidden/>
    <w:qFormat/>
    <w:uiPriority w:val="99"/>
    <w:rPr>
      <w:rFonts w:ascii="Heiti SC Light" w:hAnsi="Cambria" w:eastAsia="Heiti SC Light" w:cs="Times New Roman"/>
      <w:sz w:val="18"/>
      <w:szCs w:val="18"/>
    </w:rPr>
  </w:style>
  <w:style w:type="character" w:customStyle="1" w:styleId="22">
    <w:name w:val="日期字符"/>
    <w:basedOn w:val="15"/>
    <w:link w:val="6"/>
    <w:qFormat/>
    <w:uiPriority w:val="99"/>
    <w:rPr>
      <w:rFonts w:ascii="Cambria" w:hAnsi="Cambria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61</Pages>
  <Words>1151</Words>
  <Characters>6567</Characters>
  <Lines>54</Lines>
  <Paragraphs>15</Paragraphs>
  <ScaleCrop>false</ScaleCrop>
  <LinksUpToDate>false</LinksUpToDate>
  <CharactersWithSpaces>7703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2015-11-02T01:10:00Z</dcterms:created>
  <dc:creator>迪璇 黄</dc:creator>
  <cp:lastModifiedBy>dyp</cp:lastModifiedBy>
  <dcterms:modified xsi:type="dcterms:W3CDTF">2016-04-16T12:03:19Z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