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48E1C" w14:textId="3AE85176" w:rsidR="00F35696" w:rsidRPr="00F35696" w:rsidRDefault="00000000" w:rsidP="00F35696">
      <w:bookmarkStart w:id="0" w:name="_Hlk207542404"/>
      <w:r>
        <w:pict w14:anchorId="49A5FED7">
          <v:rect id="_x0000_i1025" style="width:0;height:1.5pt" o:hralign="center" o:hrstd="t" o:hr="t" fillcolor="#a0a0a0" stroked="f"/>
        </w:pict>
      </w:r>
      <w:r w:rsidR="00F35696">
        <w:rPr>
          <w:b/>
          <w:color w:val="000000"/>
          <w:sz w:val="26"/>
          <w:szCs w:val="26"/>
        </w:rPr>
        <w:t>Week 3: Implementation &amp; Auditing Plan</w:t>
      </w:r>
    </w:p>
    <w:p w14:paraId="7E116C11" w14:textId="1FB0DC0B" w:rsidR="0079229F" w:rsidRPr="0079229F" w:rsidRDefault="00577928" w:rsidP="0079229F">
      <w:r w:rsidRPr="008A265D">
        <w:rPr>
          <w:b/>
          <w:bCs/>
        </w:rPr>
        <w:t xml:space="preserve">Target Environment: Nigerian Government Healthcare Agency (Simulated via </w:t>
      </w:r>
      <w:proofErr w:type="spellStart"/>
      <w:r w:rsidRPr="008A265D">
        <w:rPr>
          <w:b/>
          <w:bCs/>
        </w:rPr>
        <w:t>Metasploitable</w:t>
      </w:r>
      <w:proofErr w:type="spellEnd"/>
      <w:r w:rsidRPr="008A265D">
        <w:rPr>
          <w:b/>
          <w:bCs/>
        </w:rPr>
        <w:t xml:space="preserve"> 2)</w:t>
      </w:r>
    </w:p>
    <w:p w14:paraId="7D6BD5DD" w14:textId="77777777" w:rsidR="0079229F" w:rsidRPr="0079229F" w:rsidRDefault="00000000" w:rsidP="0079229F">
      <w:r>
        <w:pict w14:anchorId="002E65E3">
          <v:rect id="_x0000_i1026" style="width:0;height:1.5pt" o:hralign="center" o:hrstd="t" o:hr="t" fillcolor="#a0a0a0" stroked="f"/>
        </w:pict>
      </w:r>
      <w:bookmarkEnd w:id="0"/>
    </w:p>
    <w:p w14:paraId="2CF86BB5" w14:textId="77777777" w:rsidR="0079229F" w:rsidRPr="0079229F" w:rsidRDefault="0079229F" w:rsidP="0079229F">
      <w:pPr>
        <w:rPr>
          <w:b/>
          <w:bCs/>
        </w:rPr>
      </w:pPr>
      <w:r w:rsidRPr="0079229F">
        <w:rPr>
          <w:b/>
          <w:bCs/>
        </w:rPr>
        <w:t>1. Overview</w:t>
      </w:r>
    </w:p>
    <w:p w14:paraId="5148D24C" w14:textId="7838FB89" w:rsidR="0079229F" w:rsidRPr="0079229F" w:rsidRDefault="0079229F" w:rsidP="0079229F">
      <w:r w:rsidRPr="0079229F">
        <w:t xml:space="preserve">The primary compliance goal is to strengthen the cybersecurity posture of the government health agency by aligning its systems with </w:t>
      </w:r>
      <w:proofErr w:type="gramStart"/>
      <w:r w:rsidR="00C06546" w:rsidRPr="0079229F">
        <w:rPr>
          <w:b/>
          <w:bCs/>
        </w:rPr>
        <w:t xml:space="preserve">GDPR </w:t>
      </w:r>
      <w:r w:rsidR="00C06546">
        <w:rPr>
          <w:b/>
          <w:bCs/>
        </w:rPr>
        <w:t>,</w:t>
      </w:r>
      <w:proofErr w:type="gramEnd"/>
      <w:r w:rsidR="00C06546">
        <w:rPr>
          <w:b/>
          <w:bCs/>
        </w:rPr>
        <w:t xml:space="preserve"> </w:t>
      </w:r>
      <w:r w:rsidRPr="0079229F">
        <w:rPr>
          <w:b/>
          <w:bCs/>
        </w:rPr>
        <w:t xml:space="preserve">NIST CSF, ISO 27001:2022, and </w:t>
      </w:r>
      <w:r w:rsidR="00C06546" w:rsidRPr="0079229F">
        <w:rPr>
          <w:b/>
          <w:bCs/>
        </w:rPr>
        <w:t>NDPR (2019)</w:t>
      </w:r>
      <w:r w:rsidRPr="0079229F">
        <w:t xml:space="preserve"> standards.</w:t>
      </w:r>
      <w:r w:rsidRPr="0079229F">
        <w:br/>
        <w:t>This implementation ensures:</w:t>
      </w:r>
    </w:p>
    <w:p w14:paraId="71B89BC0" w14:textId="77777777" w:rsidR="0079229F" w:rsidRPr="0079229F" w:rsidRDefault="0079229F" w:rsidP="0079229F">
      <w:pPr>
        <w:numPr>
          <w:ilvl w:val="0"/>
          <w:numId w:val="1"/>
        </w:numPr>
      </w:pPr>
      <w:r w:rsidRPr="0079229F">
        <w:t>Protection of sensitive health data (patient records, medical files).</w:t>
      </w:r>
    </w:p>
    <w:p w14:paraId="523C1567" w14:textId="1C64E9C3" w:rsidR="0079229F" w:rsidRPr="0079229F" w:rsidRDefault="0079229F" w:rsidP="0079229F">
      <w:pPr>
        <w:numPr>
          <w:ilvl w:val="0"/>
          <w:numId w:val="1"/>
        </w:numPr>
      </w:pPr>
      <w:r w:rsidRPr="0079229F">
        <w:t xml:space="preserve">Identification and remediation of vulnerabilities </w:t>
      </w:r>
      <w:r w:rsidR="005A00D7" w:rsidRPr="0079229F">
        <w:t xml:space="preserve">demonstrated </w:t>
      </w:r>
      <w:r w:rsidR="005A00D7">
        <w:t>on</w:t>
      </w:r>
      <w:r w:rsidRPr="0079229F">
        <w:t xml:space="preserve"> </w:t>
      </w:r>
      <w:proofErr w:type="spellStart"/>
      <w:r w:rsidRPr="0079229F">
        <w:t>Metasploitable</w:t>
      </w:r>
      <w:proofErr w:type="spellEnd"/>
      <w:r w:rsidRPr="0079229F">
        <w:t xml:space="preserve"> 2.</w:t>
      </w:r>
    </w:p>
    <w:p w14:paraId="660DE59C" w14:textId="77777777" w:rsidR="0079229F" w:rsidRPr="0079229F" w:rsidRDefault="0079229F" w:rsidP="0079229F">
      <w:pPr>
        <w:numPr>
          <w:ilvl w:val="0"/>
          <w:numId w:val="1"/>
        </w:numPr>
      </w:pPr>
      <w:r w:rsidRPr="0079229F">
        <w:t>Establishment of a governance framework for monitoring, auditing, and continuous improvement.</w:t>
      </w:r>
    </w:p>
    <w:p w14:paraId="3E2E7FAB" w14:textId="77777777" w:rsidR="0079229F" w:rsidRPr="0079229F" w:rsidRDefault="00000000" w:rsidP="0079229F">
      <w:r>
        <w:pict w14:anchorId="0F075889">
          <v:rect id="_x0000_i1027" style="width:0;height:1.5pt" o:hralign="center" o:hrstd="t" o:hr="t" fillcolor="#a0a0a0" stroked="f"/>
        </w:pict>
      </w:r>
    </w:p>
    <w:p w14:paraId="18E48F7A" w14:textId="77777777" w:rsidR="0079229F" w:rsidRPr="0079229F" w:rsidRDefault="0079229F" w:rsidP="0079229F">
      <w:pPr>
        <w:rPr>
          <w:b/>
          <w:bCs/>
        </w:rPr>
      </w:pPr>
      <w:r w:rsidRPr="0079229F">
        <w:rPr>
          <w:b/>
          <w:bCs/>
        </w:rPr>
        <w:t>2. Key Milestones</w:t>
      </w:r>
    </w:p>
    <w:p w14:paraId="1360F252" w14:textId="77777777" w:rsidR="0079229F" w:rsidRPr="0079229F" w:rsidRDefault="0079229F" w:rsidP="0079229F">
      <w:r w:rsidRPr="0079229F">
        <w:rPr>
          <w:b/>
          <w:bCs/>
        </w:rPr>
        <w:t>Phase 1 – Preparation:</w:t>
      </w:r>
    </w:p>
    <w:p w14:paraId="093CF3B5" w14:textId="77777777" w:rsidR="0079229F" w:rsidRPr="0079229F" w:rsidRDefault="0079229F" w:rsidP="0079229F">
      <w:pPr>
        <w:numPr>
          <w:ilvl w:val="0"/>
          <w:numId w:val="2"/>
        </w:numPr>
      </w:pPr>
      <w:r w:rsidRPr="0079229F">
        <w:t>Identify critical assets (databases, patient records, network devices).</w:t>
      </w:r>
    </w:p>
    <w:p w14:paraId="025E17E9" w14:textId="77777777" w:rsidR="0079229F" w:rsidRPr="0079229F" w:rsidRDefault="0079229F" w:rsidP="0079229F">
      <w:pPr>
        <w:numPr>
          <w:ilvl w:val="0"/>
          <w:numId w:val="2"/>
        </w:numPr>
      </w:pPr>
      <w:r w:rsidRPr="0079229F">
        <w:t xml:space="preserve">Map vulnerabilities on </w:t>
      </w:r>
      <w:proofErr w:type="spellStart"/>
      <w:r w:rsidRPr="0079229F">
        <w:t>Metasploitable</w:t>
      </w:r>
      <w:proofErr w:type="spellEnd"/>
      <w:r w:rsidRPr="0079229F">
        <w:t xml:space="preserve"> 2 against compliance requirements.</w:t>
      </w:r>
    </w:p>
    <w:p w14:paraId="6EC7FF1D" w14:textId="77777777" w:rsidR="0079229F" w:rsidRPr="0079229F" w:rsidRDefault="0079229F" w:rsidP="0079229F">
      <w:r w:rsidRPr="0079229F">
        <w:rPr>
          <w:b/>
          <w:bCs/>
        </w:rPr>
        <w:t>Phase 2 – Implementation:</w:t>
      </w:r>
    </w:p>
    <w:p w14:paraId="09849BC7" w14:textId="77777777" w:rsidR="005B1206" w:rsidRDefault="0079229F" w:rsidP="0079229F">
      <w:pPr>
        <w:numPr>
          <w:ilvl w:val="0"/>
          <w:numId w:val="3"/>
        </w:numPr>
      </w:pPr>
      <w:r w:rsidRPr="0079229F">
        <w:t>Apply remediation strategies (patch management, access controls, secure communication).</w:t>
      </w:r>
    </w:p>
    <w:p w14:paraId="0992E198" w14:textId="30C826C8" w:rsidR="0079229F" w:rsidRPr="0079229F" w:rsidRDefault="00861DA7" w:rsidP="005B1206">
      <w:pPr>
        <w:ind w:left="720"/>
      </w:pPr>
      <w:r>
        <w:t>(ISO27001:2022 Annex A.8.8, Annex A.5.15, Annex A.8.21)</w:t>
      </w:r>
      <w:r w:rsidR="00266047">
        <w:t>, (GDPR Art.32)</w:t>
      </w:r>
      <w:r w:rsidR="0092788F">
        <w:t xml:space="preserve"> (NIST ID.RA-8)</w:t>
      </w:r>
    </w:p>
    <w:p w14:paraId="62E5378B" w14:textId="77777777" w:rsidR="0079229F" w:rsidRPr="0079229F" w:rsidRDefault="0079229F" w:rsidP="0079229F">
      <w:pPr>
        <w:numPr>
          <w:ilvl w:val="0"/>
          <w:numId w:val="3"/>
        </w:numPr>
      </w:pPr>
      <w:r w:rsidRPr="0079229F">
        <w:t>Deploy security controls aligned with NDPR &amp; GDPR Art. 32.</w:t>
      </w:r>
    </w:p>
    <w:p w14:paraId="0E90B999" w14:textId="77777777" w:rsidR="0079229F" w:rsidRPr="0079229F" w:rsidRDefault="0079229F" w:rsidP="0079229F">
      <w:r w:rsidRPr="0079229F">
        <w:rPr>
          <w:b/>
          <w:bCs/>
        </w:rPr>
        <w:t>Phase 3 – Auditing &amp; Monitoring Setup:</w:t>
      </w:r>
    </w:p>
    <w:p w14:paraId="612CDDD9" w14:textId="43CF07A7" w:rsidR="0079229F" w:rsidRPr="0079229F" w:rsidRDefault="0079229F" w:rsidP="0079229F">
      <w:pPr>
        <w:numPr>
          <w:ilvl w:val="0"/>
          <w:numId w:val="4"/>
        </w:numPr>
      </w:pPr>
      <w:r w:rsidRPr="0079229F">
        <w:t>Establish auditing protocols (</w:t>
      </w:r>
      <w:r w:rsidR="002B3D53">
        <w:t xml:space="preserve">set up </w:t>
      </w:r>
      <w:r w:rsidRPr="0079229F">
        <w:t>system logs</w:t>
      </w:r>
      <w:r w:rsidR="002B3D53">
        <w:t xml:space="preserve"> from servers, database&amp; others</w:t>
      </w:r>
      <w:r w:rsidRPr="0079229F">
        <w:t xml:space="preserve">, </w:t>
      </w:r>
      <w:r w:rsidR="002B3D53">
        <w:t xml:space="preserve">implement </w:t>
      </w:r>
      <w:r w:rsidRPr="0079229F">
        <w:t>intrusion detection</w:t>
      </w:r>
      <w:r w:rsidR="002B3D53">
        <w:t xml:space="preserve"> systems</w:t>
      </w:r>
      <w:r w:rsidRPr="0079229F">
        <w:t xml:space="preserve">, </w:t>
      </w:r>
      <w:r w:rsidR="002B3D53">
        <w:t xml:space="preserve">schedule </w:t>
      </w:r>
      <w:r w:rsidRPr="0079229F">
        <w:t>vulnerability scans)</w:t>
      </w:r>
      <w:r w:rsidR="00B743F9">
        <w:t xml:space="preserve"> (</w:t>
      </w:r>
      <w:r w:rsidR="00B743F9" w:rsidRPr="00B743F9">
        <w:t>DE.CM-01</w:t>
      </w:r>
      <w:r w:rsidR="00B743F9">
        <w:t>,</w:t>
      </w:r>
      <w:r w:rsidR="00B743F9" w:rsidRPr="00B743F9">
        <w:t xml:space="preserve"> ID.RA-01</w:t>
      </w:r>
      <w:r w:rsidR="00B743F9">
        <w:t>)</w:t>
      </w:r>
      <w:r w:rsidRPr="0079229F">
        <w:t>.</w:t>
      </w:r>
    </w:p>
    <w:p w14:paraId="1147C1AD" w14:textId="6C126D30" w:rsidR="0079229F" w:rsidRPr="0079229F" w:rsidRDefault="0079229F" w:rsidP="0079229F">
      <w:pPr>
        <w:numPr>
          <w:ilvl w:val="0"/>
          <w:numId w:val="4"/>
        </w:numPr>
      </w:pPr>
      <w:r w:rsidRPr="0079229F">
        <w:lastRenderedPageBreak/>
        <w:t>Define compliance KPIs for measuring effectiveness</w:t>
      </w:r>
      <w:r w:rsidR="002B3D53">
        <w:t xml:space="preserve"> </w:t>
      </w:r>
      <w:proofErr w:type="spellStart"/>
      <w:r w:rsidR="002B3D53">
        <w:t>eg</w:t>
      </w:r>
      <w:proofErr w:type="spellEnd"/>
      <w:r w:rsidR="002B3D53">
        <w:t xml:space="preserve"> </w:t>
      </w:r>
      <w:r w:rsidR="002B3D53" w:rsidRPr="002B3D53">
        <w:t xml:space="preserve">% of critical vulnerabilities patched within SLA (e.g. </w:t>
      </w:r>
      <w:r w:rsidR="00906AE9">
        <w:t>14</w:t>
      </w:r>
      <w:r w:rsidR="002B3D53" w:rsidRPr="002B3D53">
        <w:t xml:space="preserve"> days)</w:t>
      </w:r>
      <w:r w:rsidR="00C00911">
        <w:t xml:space="preserve"> (</w:t>
      </w:r>
      <w:proofErr w:type="gramStart"/>
      <w:r w:rsidR="00C00911" w:rsidRPr="00C00911">
        <w:t>GV.OV</w:t>
      </w:r>
      <w:proofErr w:type="gramEnd"/>
      <w:r w:rsidR="00C00911" w:rsidRPr="00C00911">
        <w:t>-03</w:t>
      </w:r>
      <w:r w:rsidR="00C00911">
        <w:t>)</w:t>
      </w:r>
      <w:r w:rsidRPr="0079229F">
        <w:t>.</w:t>
      </w:r>
    </w:p>
    <w:p w14:paraId="08DDB649" w14:textId="77777777" w:rsidR="0079229F" w:rsidRPr="0079229F" w:rsidRDefault="0079229F" w:rsidP="0079229F">
      <w:r w:rsidRPr="0079229F">
        <w:rPr>
          <w:b/>
          <w:bCs/>
        </w:rPr>
        <w:t>Phase 4 – Review &amp; Reporting:</w:t>
      </w:r>
    </w:p>
    <w:p w14:paraId="3CA6B6FB" w14:textId="77777777" w:rsidR="0079229F" w:rsidRDefault="0079229F" w:rsidP="0079229F">
      <w:pPr>
        <w:numPr>
          <w:ilvl w:val="0"/>
          <w:numId w:val="5"/>
        </w:numPr>
      </w:pPr>
      <w:r w:rsidRPr="0079229F">
        <w:t>Document audit results.</w:t>
      </w:r>
    </w:p>
    <w:p w14:paraId="055AB66C" w14:textId="77777777" w:rsidR="00B75450" w:rsidRPr="00B75450" w:rsidRDefault="00B75450" w:rsidP="00B75450">
      <w:pPr>
        <w:ind w:left="720" w:hanging="360"/>
      </w:pPr>
      <w:r w:rsidRPr="00B75450">
        <w:t>Create structured reports (monthly/quarterly) showing:</w:t>
      </w:r>
    </w:p>
    <w:p w14:paraId="0414FC85" w14:textId="77777777" w:rsidR="00B75450" w:rsidRPr="00B75450" w:rsidRDefault="00B75450" w:rsidP="00B75450">
      <w:pPr>
        <w:numPr>
          <w:ilvl w:val="0"/>
          <w:numId w:val="19"/>
        </w:numPr>
      </w:pPr>
      <w:r w:rsidRPr="00B75450">
        <w:t>Findings from vulnerability scans.</w:t>
      </w:r>
    </w:p>
    <w:p w14:paraId="34281F08" w14:textId="77777777" w:rsidR="00B75450" w:rsidRPr="00B75450" w:rsidRDefault="00B75450" w:rsidP="00B75450">
      <w:pPr>
        <w:numPr>
          <w:ilvl w:val="0"/>
          <w:numId w:val="19"/>
        </w:numPr>
      </w:pPr>
      <w:r w:rsidRPr="00B75450">
        <w:t>Anomalies detected in logs or IDS.</w:t>
      </w:r>
    </w:p>
    <w:p w14:paraId="023B4FE6" w14:textId="77777777" w:rsidR="00B75450" w:rsidRDefault="00B75450" w:rsidP="00B75450">
      <w:pPr>
        <w:numPr>
          <w:ilvl w:val="0"/>
          <w:numId w:val="19"/>
        </w:numPr>
      </w:pPr>
      <w:r w:rsidRPr="00B75450">
        <w:t>Compliance status against frameworks (ISO 27001, GDPR, NDPR, NIST CSF).</w:t>
      </w:r>
    </w:p>
    <w:p w14:paraId="1936E0A6" w14:textId="77777777" w:rsidR="00A543A7" w:rsidRDefault="00A543A7" w:rsidP="00A543A7">
      <w:pPr>
        <w:ind w:left="360"/>
      </w:pPr>
    </w:p>
    <w:p w14:paraId="3B82C598" w14:textId="5FF01A89" w:rsidR="00B75450" w:rsidRPr="0079229F" w:rsidRDefault="00B75450" w:rsidP="00A543A7">
      <w:pPr>
        <w:ind w:left="360"/>
      </w:pPr>
      <w:r w:rsidRPr="00B75450">
        <w:t xml:space="preserve">Reports should highlight </w:t>
      </w:r>
      <w:r w:rsidRPr="00B75450">
        <w:rPr>
          <w:b/>
          <w:bCs/>
        </w:rPr>
        <w:t>gaps, risks, and trends</w:t>
      </w:r>
      <w:r w:rsidRPr="00B75450">
        <w:t>.</w:t>
      </w:r>
    </w:p>
    <w:p w14:paraId="62C69851" w14:textId="77777777" w:rsidR="0079229F" w:rsidRDefault="0079229F" w:rsidP="0079229F">
      <w:pPr>
        <w:numPr>
          <w:ilvl w:val="0"/>
          <w:numId w:val="5"/>
        </w:numPr>
      </w:pPr>
      <w:r w:rsidRPr="0079229F">
        <w:t>Provide feedback loop for continuous improvement.</w:t>
      </w:r>
    </w:p>
    <w:p w14:paraId="5B2241B9" w14:textId="1835EC29" w:rsidR="00B75450" w:rsidRPr="00B75450" w:rsidRDefault="00B75450" w:rsidP="00B75450">
      <w:pPr>
        <w:pStyle w:val="NormalWeb"/>
        <w:numPr>
          <w:ilvl w:val="0"/>
          <w:numId w:val="5"/>
        </w:numPr>
        <w:spacing w:line="360" w:lineRule="auto"/>
        <w:rPr>
          <w:rFonts w:asciiTheme="minorHAnsi" w:hAnsiTheme="minorHAnsi"/>
        </w:rPr>
      </w:pPr>
      <w:r w:rsidRPr="00B75450">
        <w:rPr>
          <w:rFonts w:asciiTheme="minorHAnsi" w:hAnsiTheme="minorHAnsi"/>
        </w:rPr>
        <w:t>Use audit results to adjust policies, update security controls, or retrain staff.</w:t>
      </w:r>
    </w:p>
    <w:p w14:paraId="7D56A258" w14:textId="77840F7D" w:rsidR="00B75450" w:rsidRPr="009008AC" w:rsidRDefault="00B75450" w:rsidP="009008AC">
      <w:pPr>
        <w:pStyle w:val="NormalWeb"/>
        <w:numPr>
          <w:ilvl w:val="0"/>
          <w:numId w:val="5"/>
        </w:numPr>
        <w:spacing w:line="360" w:lineRule="auto"/>
        <w:rPr>
          <w:rFonts w:asciiTheme="minorHAnsi" w:hAnsiTheme="minorHAnsi"/>
        </w:rPr>
      </w:pPr>
      <w:r w:rsidRPr="00B75450">
        <w:rPr>
          <w:rFonts w:asciiTheme="minorHAnsi" w:hAnsiTheme="minorHAnsi"/>
        </w:rPr>
        <w:t xml:space="preserve">Feed lessons learned into </w:t>
      </w:r>
      <w:r w:rsidRPr="00B75450">
        <w:rPr>
          <w:rStyle w:val="Strong"/>
          <w:rFonts w:asciiTheme="minorHAnsi" w:eastAsiaTheme="majorEastAsia" w:hAnsiTheme="minorHAnsi"/>
          <w:b w:val="0"/>
          <w:bCs w:val="0"/>
        </w:rPr>
        <w:t>future security strategy</w:t>
      </w:r>
      <w:r w:rsidR="009008AC">
        <w:rPr>
          <w:rFonts w:asciiTheme="minorHAnsi" w:hAnsiTheme="minorHAnsi"/>
        </w:rPr>
        <w:t xml:space="preserve"> </w:t>
      </w:r>
      <w:proofErr w:type="spellStart"/>
      <w:r w:rsidR="009008AC">
        <w:rPr>
          <w:rFonts w:asciiTheme="minorHAnsi" w:hAnsiTheme="minorHAnsi"/>
        </w:rPr>
        <w:t>eg</w:t>
      </w:r>
      <w:proofErr w:type="spellEnd"/>
      <w:r w:rsidR="009008AC">
        <w:rPr>
          <w:rFonts w:asciiTheme="minorHAnsi" w:hAnsiTheme="minorHAnsi"/>
        </w:rPr>
        <w:t xml:space="preserve"> </w:t>
      </w:r>
      <w:r w:rsidRPr="009008AC">
        <w:rPr>
          <w:rFonts w:asciiTheme="minorHAnsi" w:hAnsiTheme="minorHAnsi"/>
        </w:rPr>
        <w:t>If repeated failed login attempts are noticed, enforce stricter password policy or MFA.</w:t>
      </w:r>
    </w:p>
    <w:p w14:paraId="7F9EFB68" w14:textId="3F30A0E7" w:rsidR="00B75450" w:rsidRPr="00B75450" w:rsidRDefault="00B75450" w:rsidP="00B75450">
      <w:pPr>
        <w:pStyle w:val="NormalWeb"/>
        <w:numPr>
          <w:ilvl w:val="0"/>
          <w:numId w:val="5"/>
        </w:numPr>
        <w:spacing w:line="360" w:lineRule="auto"/>
        <w:rPr>
          <w:rFonts w:asciiTheme="minorHAnsi" w:hAnsiTheme="minorHAnsi"/>
        </w:rPr>
      </w:pPr>
      <w:r w:rsidRPr="00B75450">
        <w:rPr>
          <w:rFonts w:asciiTheme="minorHAnsi" w:hAnsiTheme="minorHAnsi"/>
        </w:rPr>
        <w:t xml:space="preserve">This aligns with the principle of </w:t>
      </w:r>
      <w:r w:rsidRPr="00B75450">
        <w:rPr>
          <w:rStyle w:val="Strong"/>
          <w:rFonts w:asciiTheme="minorHAnsi" w:eastAsiaTheme="majorEastAsia" w:hAnsiTheme="minorHAnsi"/>
          <w:b w:val="0"/>
          <w:bCs w:val="0"/>
        </w:rPr>
        <w:t>continuous improvement</w:t>
      </w:r>
      <w:r w:rsidRPr="00B75450">
        <w:rPr>
          <w:rFonts w:asciiTheme="minorHAnsi" w:hAnsiTheme="minorHAnsi"/>
        </w:rPr>
        <w:t xml:space="preserve"> in both ISO 27001</w:t>
      </w:r>
      <w:r w:rsidR="00003B33">
        <w:rPr>
          <w:rFonts w:asciiTheme="minorHAnsi" w:hAnsiTheme="minorHAnsi"/>
        </w:rPr>
        <w:t>:2022 A.10.2</w:t>
      </w:r>
      <w:r w:rsidRPr="00B75450">
        <w:rPr>
          <w:rFonts w:asciiTheme="minorHAnsi" w:hAnsiTheme="minorHAnsi"/>
        </w:rPr>
        <w:t xml:space="preserve"> and NIST CSF</w:t>
      </w:r>
      <w:r w:rsidR="00003B33">
        <w:rPr>
          <w:rFonts w:asciiTheme="minorHAnsi" w:hAnsiTheme="minorHAnsi"/>
        </w:rPr>
        <w:t xml:space="preserve"> </w:t>
      </w:r>
      <w:proofErr w:type="gramStart"/>
      <w:r w:rsidR="00003B33">
        <w:rPr>
          <w:rFonts w:asciiTheme="minorHAnsi" w:hAnsiTheme="minorHAnsi"/>
        </w:rPr>
        <w:t>GV.RR</w:t>
      </w:r>
      <w:proofErr w:type="gramEnd"/>
      <w:r w:rsidR="00003B33">
        <w:rPr>
          <w:rFonts w:asciiTheme="minorHAnsi" w:hAnsiTheme="minorHAnsi"/>
        </w:rPr>
        <w:t>-01</w:t>
      </w:r>
      <w:r w:rsidRPr="00B75450">
        <w:rPr>
          <w:rFonts w:asciiTheme="minorHAnsi" w:hAnsiTheme="minorHAnsi"/>
        </w:rPr>
        <w:t>.</w:t>
      </w:r>
    </w:p>
    <w:p w14:paraId="6BF53486" w14:textId="77777777" w:rsidR="00B75450" w:rsidRDefault="00B75450" w:rsidP="00B75450">
      <w:pPr>
        <w:ind w:left="720"/>
      </w:pPr>
    </w:p>
    <w:p w14:paraId="2BAFF32F" w14:textId="77777777" w:rsidR="00FF33F7" w:rsidRDefault="00FF33F7" w:rsidP="00FF33F7">
      <w:pPr>
        <w:ind w:left="720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2982"/>
        <w:gridCol w:w="3392"/>
      </w:tblGrid>
      <w:tr w:rsidR="00FF33F7" w:rsidRPr="00FF33F7" w14:paraId="57182186" w14:textId="77777777" w:rsidTr="00FF33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1CC9AB" w14:textId="77777777" w:rsidR="00FF33F7" w:rsidRPr="00FF33F7" w:rsidRDefault="00FF33F7" w:rsidP="00FF33F7">
            <w:pPr>
              <w:ind w:left="720"/>
              <w:rPr>
                <w:b/>
                <w:bCs/>
              </w:rPr>
            </w:pPr>
            <w:r w:rsidRPr="00FF33F7">
              <w:rPr>
                <w:b/>
                <w:bCs/>
              </w:rPr>
              <w:t>Vulnerability (</w:t>
            </w:r>
            <w:proofErr w:type="spellStart"/>
            <w:r w:rsidRPr="00FF33F7">
              <w:rPr>
                <w:b/>
                <w:bCs/>
              </w:rPr>
              <w:t>Metasploitable</w:t>
            </w:r>
            <w:proofErr w:type="spellEnd"/>
            <w:r w:rsidRPr="00FF33F7">
              <w:rPr>
                <w:b/>
                <w:bCs/>
              </w:rPr>
              <w:t xml:space="preserve"> 2)</w:t>
            </w:r>
          </w:p>
        </w:tc>
        <w:tc>
          <w:tcPr>
            <w:tcW w:w="0" w:type="auto"/>
            <w:vAlign w:val="center"/>
            <w:hideMark/>
          </w:tcPr>
          <w:p w14:paraId="4F7166D6" w14:textId="77777777" w:rsidR="00FF33F7" w:rsidRPr="00FF33F7" w:rsidRDefault="00FF33F7" w:rsidP="00FF33F7">
            <w:pPr>
              <w:ind w:left="720"/>
              <w:rPr>
                <w:b/>
                <w:bCs/>
              </w:rPr>
            </w:pPr>
            <w:r w:rsidRPr="00FF33F7">
              <w:rPr>
                <w:b/>
                <w:bCs/>
              </w:rPr>
              <w:t>Compliance Requirement</w:t>
            </w:r>
          </w:p>
        </w:tc>
        <w:tc>
          <w:tcPr>
            <w:tcW w:w="0" w:type="auto"/>
            <w:vAlign w:val="center"/>
            <w:hideMark/>
          </w:tcPr>
          <w:p w14:paraId="4C82F5AF" w14:textId="77777777" w:rsidR="00FF33F7" w:rsidRPr="00FF33F7" w:rsidRDefault="00FF33F7" w:rsidP="00FF33F7">
            <w:pPr>
              <w:ind w:left="720"/>
              <w:rPr>
                <w:b/>
                <w:bCs/>
              </w:rPr>
            </w:pPr>
            <w:r w:rsidRPr="00FF33F7">
              <w:rPr>
                <w:b/>
                <w:bCs/>
              </w:rPr>
              <w:t>Mapping Justification</w:t>
            </w:r>
          </w:p>
        </w:tc>
      </w:tr>
      <w:tr w:rsidR="00FF33F7" w:rsidRPr="00FF33F7" w14:paraId="2566D8D0" w14:textId="77777777" w:rsidTr="00FF3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B018C" w14:textId="77777777" w:rsidR="00FF33F7" w:rsidRPr="00FF33F7" w:rsidRDefault="00FF33F7" w:rsidP="00FF33F7">
            <w:pPr>
              <w:ind w:left="720"/>
            </w:pPr>
            <w:r w:rsidRPr="00FF33F7">
              <w:rPr>
                <w:b/>
                <w:bCs/>
              </w:rPr>
              <w:t>Anonymous FTP access</w:t>
            </w:r>
          </w:p>
        </w:tc>
        <w:tc>
          <w:tcPr>
            <w:tcW w:w="0" w:type="auto"/>
            <w:vAlign w:val="center"/>
            <w:hideMark/>
          </w:tcPr>
          <w:p w14:paraId="2E0738F8" w14:textId="77777777" w:rsidR="00FF33F7" w:rsidRPr="00FF33F7" w:rsidRDefault="00FF33F7" w:rsidP="00FF33F7">
            <w:pPr>
              <w:ind w:left="720"/>
            </w:pPr>
            <w:r w:rsidRPr="008F3F7B">
              <w:t>GDPR Art. 32 (Security of Processing), NDPR</w:t>
            </w:r>
            <w:r w:rsidRPr="00FF33F7">
              <w:t xml:space="preserve"> Data Security Principles</w:t>
            </w:r>
          </w:p>
        </w:tc>
        <w:tc>
          <w:tcPr>
            <w:tcW w:w="0" w:type="auto"/>
            <w:vAlign w:val="center"/>
            <w:hideMark/>
          </w:tcPr>
          <w:p w14:paraId="66214527" w14:textId="77777777" w:rsidR="00FF33F7" w:rsidRPr="00FF33F7" w:rsidRDefault="00FF33F7" w:rsidP="00FF33F7">
            <w:pPr>
              <w:ind w:left="720"/>
            </w:pPr>
            <w:r w:rsidRPr="00FF33F7">
              <w:t>Lack of access control violates the requirement for confidentiality &amp; integrity of personal data.</w:t>
            </w:r>
          </w:p>
        </w:tc>
      </w:tr>
      <w:tr w:rsidR="00FF33F7" w:rsidRPr="00FF33F7" w14:paraId="1BC421C9" w14:textId="77777777" w:rsidTr="00FF3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86FC3" w14:textId="77777777" w:rsidR="00FF33F7" w:rsidRPr="00FF33F7" w:rsidRDefault="00FF33F7" w:rsidP="00FF33F7">
            <w:pPr>
              <w:ind w:left="720"/>
            </w:pPr>
            <w:r w:rsidRPr="00FF33F7">
              <w:rPr>
                <w:b/>
                <w:bCs/>
              </w:rPr>
              <w:t>Outdated Apache server (with known exploits)</w:t>
            </w:r>
          </w:p>
        </w:tc>
        <w:tc>
          <w:tcPr>
            <w:tcW w:w="0" w:type="auto"/>
            <w:vAlign w:val="center"/>
            <w:hideMark/>
          </w:tcPr>
          <w:p w14:paraId="740481A0" w14:textId="7C91B94A" w:rsidR="00FF33F7" w:rsidRPr="008F3F7B" w:rsidRDefault="00FF33F7" w:rsidP="00FF33F7">
            <w:pPr>
              <w:ind w:left="720"/>
            </w:pPr>
            <w:r w:rsidRPr="008F3F7B">
              <w:t>ISO 27001 A.</w:t>
            </w:r>
            <w:r w:rsidR="00C601DA" w:rsidRPr="008F3F7B">
              <w:t>8.8</w:t>
            </w:r>
            <w:r w:rsidRPr="008F3F7B">
              <w:t xml:space="preserve"> Technical </w:t>
            </w:r>
            <w:r w:rsidRPr="008F3F7B">
              <w:lastRenderedPageBreak/>
              <w:t>Vulnerability Management</w:t>
            </w:r>
          </w:p>
        </w:tc>
        <w:tc>
          <w:tcPr>
            <w:tcW w:w="0" w:type="auto"/>
            <w:vAlign w:val="center"/>
            <w:hideMark/>
          </w:tcPr>
          <w:p w14:paraId="6BEDC5A4" w14:textId="77777777" w:rsidR="00FF33F7" w:rsidRPr="00FF33F7" w:rsidRDefault="00FF33F7" w:rsidP="00FF33F7">
            <w:pPr>
              <w:ind w:left="720"/>
            </w:pPr>
            <w:r w:rsidRPr="00FF33F7">
              <w:lastRenderedPageBreak/>
              <w:t xml:space="preserve">No patch management process </w:t>
            </w:r>
            <w:proofErr w:type="gramStart"/>
            <w:r w:rsidRPr="00FF33F7">
              <w:t>in</w:t>
            </w:r>
            <w:proofErr w:type="gramEnd"/>
            <w:r w:rsidRPr="00FF33F7">
              <w:t xml:space="preserve"> place.</w:t>
            </w:r>
          </w:p>
        </w:tc>
      </w:tr>
      <w:tr w:rsidR="00FF33F7" w:rsidRPr="00FF33F7" w14:paraId="6D6D776B" w14:textId="77777777" w:rsidTr="00FF3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0E393" w14:textId="77777777" w:rsidR="00FF33F7" w:rsidRPr="00FF33F7" w:rsidRDefault="00FF33F7" w:rsidP="00FF33F7">
            <w:pPr>
              <w:ind w:left="720"/>
            </w:pPr>
            <w:r w:rsidRPr="00FF33F7">
              <w:rPr>
                <w:b/>
                <w:bCs/>
              </w:rPr>
              <w:t>Weak MySQL root password</w:t>
            </w:r>
          </w:p>
        </w:tc>
        <w:tc>
          <w:tcPr>
            <w:tcW w:w="0" w:type="auto"/>
            <w:vAlign w:val="center"/>
            <w:hideMark/>
          </w:tcPr>
          <w:p w14:paraId="10376A27" w14:textId="4D98E4BC" w:rsidR="00FF33F7" w:rsidRPr="008F3F7B" w:rsidRDefault="00FF33F7" w:rsidP="00FF33F7">
            <w:pPr>
              <w:ind w:left="720"/>
            </w:pPr>
            <w:r w:rsidRPr="008F3F7B">
              <w:t xml:space="preserve">NIST CSF </w:t>
            </w:r>
            <w:proofErr w:type="gramStart"/>
            <w:r w:rsidRPr="008F3F7B">
              <w:t>PR.A</w:t>
            </w:r>
            <w:r w:rsidR="008F3F7B">
              <w:t>A</w:t>
            </w:r>
            <w:proofErr w:type="gramEnd"/>
            <w:r w:rsidRPr="008F3F7B">
              <w:t>-1 (Identities &amp; credentials managed), GDPR Art. 32</w:t>
            </w:r>
          </w:p>
        </w:tc>
        <w:tc>
          <w:tcPr>
            <w:tcW w:w="0" w:type="auto"/>
            <w:vAlign w:val="center"/>
            <w:hideMark/>
          </w:tcPr>
          <w:p w14:paraId="38F0154A" w14:textId="77777777" w:rsidR="00FF33F7" w:rsidRPr="00FF33F7" w:rsidRDefault="00FF33F7" w:rsidP="00FF33F7">
            <w:pPr>
              <w:ind w:left="720"/>
            </w:pPr>
            <w:r w:rsidRPr="00FF33F7">
              <w:t>Weak credentials expose EHR data to unauthorized access.</w:t>
            </w:r>
          </w:p>
        </w:tc>
      </w:tr>
      <w:tr w:rsidR="00FF33F7" w:rsidRPr="00FF33F7" w14:paraId="4FC8D51B" w14:textId="77777777" w:rsidTr="00FF3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B4546" w14:textId="77777777" w:rsidR="00FF33F7" w:rsidRPr="00FF33F7" w:rsidRDefault="00FF33F7" w:rsidP="00FF33F7">
            <w:pPr>
              <w:ind w:left="720"/>
            </w:pPr>
            <w:r w:rsidRPr="00FF33F7">
              <w:rPr>
                <w:b/>
                <w:bCs/>
              </w:rPr>
              <w:t>No intrusion detection system (IDS)</w:t>
            </w:r>
          </w:p>
        </w:tc>
        <w:tc>
          <w:tcPr>
            <w:tcW w:w="0" w:type="auto"/>
            <w:vAlign w:val="center"/>
            <w:hideMark/>
          </w:tcPr>
          <w:p w14:paraId="48ED5C94" w14:textId="0D171320" w:rsidR="00FF33F7" w:rsidRPr="008F3F7B" w:rsidRDefault="00FF33F7" w:rsidP="00FF33F7">
            <w:pPr>
              <w:ind w:left="720"/>
            </w:pPr>
            <w:r w:rsidRPr="008F3F7B">
              <w:t>ISO 27001 A.</w:t>
            </w:r>
            <w:r w:rsidR="00B83639">
              <w:t>8</w:t>
            </w:r>
            <w:r w:rsidRPr="008F3F7B">
              <w:t>.</w:t>
            </w:r>
            <w:r w:rsidR="00B83639">
              <w:t>16</w:t>
            </w:r>
            <w:r w:rsidRPr="008F3F7B">
              <w:t xml:space="preserve"> (Logging and monitoring)</w:t>
            </w:r>
          </w:p>
        </w:tc>
        <w:tc>
          <w:tcPr>
            <w:tcW w:w="0" w:type="auto"/>
            <w:vAlign w:val="center"/>
            <w:hideMark/>
          </w:tcPr>
          <w:p w14:paraId="550584EA" w14:textId="77777777" w:rsidR="00FF33F7" w:rsidRPr="00FF33F7" w:rsidRDefault="00FF33F7" w:rsidP="00FF33F7">
            <w:pPr>
              <w:ind w:left="720"/>
            </w:pPr>
            <w:r w:rsidRPr="00FF33F7">
              <w:t>Failure to detect anomalies breaks compliance with monitoring requirements.</w:t>
            </w:r>
          </w:p>
        </w:tc>
      </w:tr>
    </w:tbl>
    <w:p w14:paraId="65E86084" w14:textId="77777777" w:rsidR="00FF33F7" w:rsidRPr="0079229F" w:rsidRDefault="00FF33F7" w:rsidP="00FF33F7">
      <w:pPr>
        <w:ind w:left="720"/>
      </w:pPr>
    </w:p>
    <w:p w14:paraId="77CE5328" w14:textId="77777777" w:rsidR="0079229F" w:rsidRPr="0079229F" w:rsidRDefault="00000000" w:rsidP="0079229F">
      <w:r>
        <w:pict w14:anchorId="27DC338C">
          <v:rect id="_x0000_i1028" style="width:0;height:1.5pt" o:hralign="center" o:hrstd="t" o:hr="t" fillcolor="#a0a0a0" stroked="f"/>
        </w:pict>
      </w:r>
    </w:p>
    <w:p w14:paraId="7E0F1418" w14:textId="77777777" w:rsidR="00FF33F7" w:rsidRDefault="00FF33F7" w:rsidP="0079229F">
      <w:pPr>
        <w:rPr>
          <w:b/>
          <w:bCs/>
        </w:rPr>
      </w:pPr>
    </w:p>
    <w:p w14:paraId="6FF1A994" w14:textId="77777777" w:rsidR="00FF33F7" w:rsidRDefault="00FF33F7" w:rsidP="0079229F">
      <w:pPr>
        <w:rPr>
          <w:b/>
          <w:bCs/>
        </w:rPr>
      </w:pPr>
    </w:p>
    <w:p w14:paraId="11D44C54" w14:textId="77777777" w:rsidR="00FF33F7" w:rsidRDefault="00FF33F7" w:rsidP="0079229F">
      <w:pPr>
        <w:rPr>
          <w:b/>
          <w:bCs/>
        </w:rPr>
      </w:pPr>
    </w:p>
    <w:p w14:paraId="41592FC6" w14:textId="25037CB7" w:rsidR="0079229F" w:rsidRPr="0079229F" w:rsidRDefault="0079229F" w:rsidP="0079229F">
      <w:pPr>
        <w:rPr>
          <w:b/>
          <w:bCs/>
        </w:rPr>
      </w:pPr>
      <w:r w:rsidRPr="0079229F">
        <w:rPr>
          <w:b/>
          <w:bCs/>
        </w:rPr>
        <w:t>3. Action Plan</w:t>
      </w:r>
    </w:p>
    <w:p w14:paraId="158A9DB8" w14:textId="77777777" w:rsidR="0079229F" w:rsidRPr="0079229F" w:rsidRDefault="0079229F" w:rsidP="0079229F">
      <w:r w:rsidRPr="0079229F">
        <w:rPr>
          <w:b/>
          <w:bCs/>
        </w:rPr>
        <w:t>Tasks &amp; Responsibilities:</w:t>
      </w:r>
    </w:p>
    <w:p w14:paraId="01D146B5" w14:textId="2DD3192C" w:rsidR="0079229F" w:rsidRDefault="0079229F" w:rsidP="0079229F">
      <w:pPr>
        <w:numPr>
          <w:ilvl w:val="0"/>
          <w:numId w:val="6"/>
        </w:numPr>
      </w:pPr>
      <w:r w:rsidRPr="0079229F">
        <w:rPr>
          <w:b/>
          <w:bCs/>
        </w:rPr>
        <w:t>IT Security Team:</w:t>
      </w:r>
      <w:r w:rsidRPr="0079229F">
        <w:t xml:space="preserve"> Conduct vulnerability scans on </w:t>
      </w:r>
      <w:proofErr w:type="spellStart"/>
      <w:r w:rsidRPr="0079229F">
        <w:t>Metasploitable</w:t>
      </w:r>
      <w:proofErr w:type="spellEnd"/>
      <w:r w:rsidRPr="0079229F">
        <w:t xml:space="preserve"> 2, apply patches</w:t>
      </w:r>
      <w:r w:rsidR="00276946">
        <w:t xml:space="preserve"> </w:t>
      </w:r>
      <w:r w:rsidR="002B74D5" w:rsidRPr="002B74D5">
        <w:t xml:space="preserve">to critical services (e.g., Apache, MySQL, OpenSSH, </w:t>
      </w:r>
      <w:proofErr w:type="spellStart"/>
      <w:r w:rsidR="002B74D5" w:rsidRPr="002B74D5">
        <w:t>vsFTPd</w:t>
      </w:r>
      <w:proofErr w:type="spellEnd"/>
      <w:r w:rsidR="002B74D5" w:rsidRPr="002B74D5">
        <w:t>)</w:t>
      </w:r>
      <w:r w:rsidR="002B74D5">
        <w:t xml:space="preserve"> </w:t>
      </w:r>
      <w:r w:rsidR="00276946">
        <w:t>and</w:t>
      </w:r>
      <w:r w:rsidRPr="0079229F">
        <w:t xml:space="preserve"> </w:t>
      </w:r>
      <w:r w:rsidR="00F75D8F">
        <w:t xml:space="preserve">identify and </w:t>
      </w:r>
      <w:r w:rsidRPr="0079229F">
        <w:t xml:space="preserve">configure </w:t>
      </w:r>
      <w:r w:rsidR="00F75D8F">
        <w:t>all the misconfigurations in the system</w:t>
      </w:r>
      <w:r w:rsidR="002B74D5">
        <w:t xml:space="preserve"> </w:t>
      </w:r>
      <w:proofErr w:type="spellStart"/>
      <w:r w:rsidR="002B74D5">
        <w:t>eg</w:t>
      </w:r>
      <w:proofErr w:type="spellEnd"/>
      <w:r w:rsidR="002B74D5">
        <w:t xml:space="preserve"> </w:t>
      </w:r>
      <w:r w:rsidR="002B74D5" w:rsidRPr="002B74D5">
        <w:t>Disabling anonymous FTP access</w:t>
      </w:r>
      <w:r w:rsidR="002B74D5">
        <w:t xml:space="preserve">, </w:t>
      </w:r>
      <w:r w:rsidR="002B74D5" w:rsidRPr="002B74D5">
        <w:t>Enforcing strong password policies</w:t>
      </w:r>
      <w:r w:rsidR="00CB69CD">
        <w:t xml:space="preserve">, </w:t>
      </w:r>
      <w:r w:rsidR="00CB69CD" w:rsidRPr="00CB69CD">
        <w:t>File permission changes</w:t>
      </w:r>
      <w:r w:rsidR="00CB69CD">
        <w:t xml:space="preserve"> etc</w:t>
      </w:r>
      <w:r w:rsidR="002B74D5" w:rsidRPr="002B74D5">
        <w:t>.</w:t>
      </w:r>
    </w:p>
    <w:p w14:paraId="0DC438D8" w14:textId="5F05DBC2" w:rsidR="00110B0C" w:rsidRPr="0079229F" w:rsidRDefault="00110B0C" w:rsidP="00110B0C">
      <w:pPr>
        <w:numPr>
          <w:ilvl w:val="0"/>
          <w:numId w:val="6"/>
        </w:numPr>
      </w:pPr>
      <w:r w:rsidRPr="0079229F">
        <w:t xml:space="preserve">Deploy log monitoring </w:t>
      </w:r>
      <w:r>
        <w:t xml:space="preserve">using SIEM </w:t>
      </w:r>
      <w:proofErr w:type="gramStart"/>
      <w:r>
        <w:t>tools</w:t>
      </w:r>
      <w:r w:rsidRPr="0079229F">
        <w:t>(</w:t>
      </w:r>
      <w:proofErr w:type="gramEnd"/>
      <w:r w:rsidRPr="0079229F">
        <w:t>Syslog/Splunk in lab environment)</w:t>
      </w:r>
      <w:r w:rsidR="00CB69CD">
        <w:t xml:space="preserve"> to enable detection of </w:t>
      </w:r>
      <w:r w:rsidR="00CB69CD" w:rsidRPr="00CB69CD">
        <w:t>Failed/successful login attempts</w:t>
      </w:r>
      <w:r w:rsidR="00CB69CD">
        <w:t xml:space="preserve">, </w:t>
      </w:r>
      <w:r w:rsidR="00CB69CD" w:rsidRPr="00CB69CD">
        <w:t xml:space="preserve">Privilege escalation (e.g., </w:t>
      </w:r>
      <w:proofErr w:type="spellStart"/>
      <w:r w:rsidR="00CB69CD" w:rsidRPr="00CB69CD">
        <w:t>sudo</w:t>
      </w:r>
      <w:proofErr w:type="spellEnd"/>
      <w:r w:rsidR="00CB69CD" w:rsidRPr="00CB69CD">
        <w:t xml:space="preserve"> usage)</w:t>
      </w:r>
      <w:r w:rsidR="00CB69CD">
        <w:t xml:space="preserve">. </w:t>
      </w:r>
    </w:p>
    <w:p w14:paraId="54923D55" w14:textId="77777777" w:rsidR="0079229F" w:rsidRPr="0079229F" w:rsidRDefault="0079229F" w:rsidP="0079229F">
      <w:pPr>
        <w:numPr>
          <w:ilvl w:val="0"/>
          <w:numId w:val="6"/>
        </w:numPr>
      </w:pPr>
      <w:r w:rsidRPr="0079229F">
        <w:rPr>
          <w:b/>
          <w:bCs/>
        </w:rPr>
        <w:t>Compliance Officer:</w:t>
      </w:r>
      <w:r w:rsidRPr="0079229F">
        <w:t xml:space="preserve"> Align remediation tasks with NDPR, GDPR, and ISO 27001 controls.</w:t>
      </w:r>
    </w:p>
    <w:p w14:paraId="0947CCD6" w14:textId="5F56D645" w:rsidR="0079229F" w:rsidRPr="0079229F" w:rsidRDefault="0079229F" w:rsidP="0079229F">
      <w:pPr>
        <w:numPr>
          <w:ilvl w:val="0"/>
          <w:numId w:val="6"/>
        </w:numPr>
      </w:pPr>
      <w:r w:rsidRPr="0079229F">
        <w:rPr>
          <w:b/>
          <w:bCs/>
        </w:rPr>
        <w:lastRenderedPageBreak/>
        <w:t>Oversight Committee:</w:t>
      </w:r>
      <w:r w:rsidRPr="0079229F">
        <w:t xml:space="preserve"> Monitor adherence, review weekly reports, </w:t>
      </w:r>
      <w:r w:rsidR="002641A9">
        <w:t xml:space="preserve">evaluate and </w:t>
      </w:r>
      <w:r w:rsidRPr="0079229F">
        <w:t xml:space="preserve">approve </w:t>
      </w:r>
      <w:r w:rsidR="002641A9">
        <w:t xml:space="preserve">proposed </w:t>
      </w:r>
      <w:r w:rsidRPr="0079229F">
        <w:t>risk</w:t>
      </w:r>
      <w:r w:rsidR="002641A9">
        <w:t xml:space="preserve">-related </w:t>
      </w:r>
      <w:r w:rsidRPr="0079229F">
        <w:t>mitigation strategies.</w:t>
      </w:r>
    </w:p>
    <w:p w14:paraId="2289E7E3" w14:textId="77777777" w:rsidR="0079229F" w:rsidRPr="0079229F" w:rsidRDefault="0079229F" w:rsidP="0079229F">
      <w:pPr>
        <w:numPr>
          <w:ilvl w:val="0"/>
          <w:numId w:val="6"/>
        </w:numPr>
      </w:pPr>
      <w:r w:rsidRPr="0079229F">
        <w:rPr>
          <w:b/>
          <w:bCs/>
        </w:rPr>
        <w:t>System Admins:</w:t>
      </w:r>
      <w:r w:rsidRPr="0079229F">
        <w:t xml:space="preserve"> Implement technical changes (encryption, authentication, patch deployment).</w:t>
      </w:r>
    </w:p>
    <w:p w14:paraId="369F8A1D" w14:textId="56647AF6" w:rsidR="0079229F" w:rsidRPr="0079229F" w:rsidRDefault="0079229F" w:rsidP="00A60A33">
      <w:pPr>
        <w:numPr>
          <w:ilvl w:val="0"/>
          <w:numId w:val="7"/>
        </w:numPr>
        <w:tabs>
          <w:tab w:val="clear" w:pos="720"/>
        </w:tabs>
        <w:ind w:left="810" w:firstLine="0"/>
      </w:pPr>
      <w:r w:rsidRPr="0079229F">
        <w:t xml:space="preserve">Disable anonymous FTP and </w:t>
      </w:r>
      <w:r w:rsidR="00876646">
        <w:t xml:space="preserve">use </w:t>
      </w:r>
      <w:r w:rsidRPr="0079229F">
        <w:t>Telnet services</w:t>
      </w:r>
      <w:r w:rsidR="00876646">
        <w:t xml:space="preserve"> only for testing and </w:t>
      </w:r>
      <w:r w:rsidR="00A60A33">
        <w:t xml:space="preserve">      </w:t>
      </w:r>
      <w:r w:rsidR="00876646">
        <w:t>validation</w:t>
      </w:r>
      <w:r w:rsidRPr="0079229F">
        <w:t xml:space="preserve"> (access control compliance).</w:t>
      </w:r>
      <w:r w:rsidR="00FE5374">
        <w:t xml:space="preserve"> (ISO27001:2022 A.8.1), (NIST PR.DS-2)</w:t>
      </w:r>
    </w:p>
    <w:p w14:paraId="218243BE" w14:textId="77777777" w:rsidR="0079229F" w:rsidRPr="0079229F" w:rsidRDefault="0079229F" w:rsidP="00A60A33">
      <w:pPr>
        <w:numPr>
          <w:ilvl w:val="0"/>
          <w:numId w:val="7"/>
        </w:numPr>
        <w:tabs>
          <w:tab w:val="clear" w:pos="720"/>
        </w:tabs>
        <w:ind w:firstLine="0"/>
      </w:pPr>
      <w:r w:rsidRPr="0079229F">
        <w:t>Patch outdated services (Apache, MySQL, OpenSSH) to meet ISO 27001 A.8.8 requirements.</w:t>
      </w:r>
    </w:p>
    <w:p w14:paraId="1D6D9542" w14:textId="77777777" w:rsidR="0079229F" w:rsidRPr="0079229F" w:rsidRDefault="0079229F" w:rsidP="00A60A33">
      <w:pPr>
        <w:numPr>
          <w:ilvl w:val="0"/>
          <w:numId w:val="7"/>
        </w:numPr>
        <w:tabs>
          <w:tab w:val="clear" w:pos="720"/>
        </w:tabs>
        <w:ind w:firstLine="0"/>
      </w:pPr>
      <w:r w:rsidRPr="0079229F">
        <w:t>Implement data-in-transit protection (SSL/TLS enforcement).</w:t>
      </w:r>
    </w:p>
    <w:p w14:paraId="7E965475" w14:textId="77777777" w:rsidR="0079229F" w:rsidRPr="0079229F" w:rsidRDefault="00000000" w:rsidP="0079229F">
      <w:r>
        <w:pict w14:anchorId="45B25769">
          <v:rect id="_x0000_i1029" style="width:0;height:1.5pt" o:hralign="center" o:hrstd="t" o:hr="t" fillcolor="#a0a0a0" stroked="f"/>
        </w:pict>
      </w:r>
    </w:p>
    <w:p w14:paraId="68330D27" w14:textId="77777777" w:rsidR="0079229F" w:rsidRPr="0079229F" w:rsidRDefault="0079229F" w:rsidP="0079229F">
      <w:pPr>
        <w:rPr>
          <w:b/>
          <w:bCs/>
        </w:rPr>
      </w:pPr>
      <w:r w:rsidRPr="0079229F">
        <w:rPr>
          <w:b/>
          <w:bCs/>
        </w:rPr>
        <w:t>4. Risk Management</w:t>
      </w:r>
    </w:p>
    <w:p w14:paraId="098C8CBA" w14:textId="77777777" w:rsidR="0079229F" w:rsidRPr="0079229F" w:rsidRDefault="0079229F" w:rsidP="0079229F">
      <w:r w:rsidRPr="0079229F">
        <w:rPr>
          <w:b/>
          <w:bCs/>
        </w:rPr>
        <w:t>Potential Risks During Implementation:</w:t>
      </w:r>
    </w:p>
    <w:p w14:paraId="6FFF8333" w14:textId="77777777" w:rsidR="0079229F" w:rsidRPr="0079229F" w:rsidRDefault="0079229F" w:rsidP="0079229F">
      <w:pPr>
        <w:numPr>
          <w:ilvl w:val="0"/>
          <w:numId w:val="8"/>
        </w:numPr>
      </w:pPr>
      <w:r w:rsidRPr="0079229F">
        <w:t>Misconfiguration of patched services leading to downtime.</w:t>
      </w:r>
    </w:p>
    <w:p w14:paraId="38592E3E" w14:textId="77777777" w:rsidR="0079229F" w:rsidRPr="0079229F" w:rsidRDefault="0079229F" w:rsidP="0079229F">
      <w:pPr>
        <w:numPr>
          <w:ilvl w:val="0"/>
          <w:numId w:val="8"/>
        </w:numPr>
      </w:pPr>
      <w:r w:rsidRPr="0079229F">
        <w:t>Non-compliance due to incomplete patching.</w:t>
      </w:r>
    </w:p>
    <w:p w14:paraId="504FDDF5" w14:textId="77777777" w:rsidR="0079229F" w:rsidRPr="0079229F" w:rsidRDefault="0079229F" w:rsidP="0079229F">
      <w:pPr>
        <w:numPr>
          <w:ilvl w:val="0"/>
          <w:numId w:val="8"/>
        </w:numPr>
      </w:pPr>
      <w:r w:rsidRPr="0079229F">
        <w:t>Insider threats from unauthorized system access.</w:t>
      </w:r>
    </w:p>
    <w:p w14:paraId="2302ED40" w14:textId="77777777" w:rsidR="0079229F" w:rsidRPr="0079229F" w:rsidRDefault="0079229F" w:rsidP="0079229F">
      <w:r w:rsidRPr="0079229F">
        <w:rPr>
          <w:b/>
          <w:bCs/>
        </w:rPr>
        <w:t>Mitigation Measures:</w:t>
      </w:r>
    </w:p>
    <w:p w14:paraId="425483A5" w14:textId="6F720994" w:rsidR="0079229F" w:rsidRPr="0079229F" w:rsidRDefault="00A25FD8" w:rsidP="0079229F">
      <w:pPr>
        <w:numPr>
          <w:ilvl w:val="0"/>
          <w:numId w:val="9"/>
        </w:numPr>
      </w:pPr>
      <w:r>
        <w:t>Before patch deployment, u</w:t>
      </w:r>
      <w:r w:rsidR="0079229F" w:rsidRPr="0079229F">
        <w:t>se rollback</w:t>
      </w:r>
      <w:r>
        <w:t xml:space="preserve"> in case the system introduces system failure or unexpected incompatibility occurs and </w:t>
      </w:r>
      <w:r w:rsidR="0079229F" w:rsidRPr="0079229F">
        <w:t xml:space="preserve">backup plans </w:t>
      </w:r>
      <w:r>
        <w:t xml:space="preserve">to ensure data and system states cannot be restored after roll back. </w:t>
      </w:r>
      <w:r w:rsidR="00547594">
        <w:t xml:space="preserve">(NIST 2.0 </w:t>
      </w:r>
      <w:proofErr w:type="gramStart"/>
      <w:r w:rsidR="00547594" w:rsidRPr="00547594">
        <w:t>PR.IP</w:t>
      </w:r>
      <w:proofErr w:type="gramEnd"/>
      <w:r w:rsidR="00547594" w:rsidRPr="00547594">
        <w:t>-04</w:t>
      </w:r>
      <w:r w:rsidR="00547594">
        <w:t xml:space="preserve">, ISO27001:2022 </w:t>
      </w:r>
      <w:r w:rsidR="00547594" w:rsidRPr="00547594">
        <w:t xml:space="preserve">Annex </w:t>
      </w:r>
      <w:proofErr w:type="gramStart"/>
      <w:r w:rsidR="00547594" w:rsidRPr="00547594">
        <w:t>A</w:t>
      </w:r>
      <w:proofErr w:type="gramEnd"/>
      <w:r w:rsidR="00547594" w:rsidRPr="00547594">
        <w:t xml:space="preserve"> 8.13</w:t>
      </w:r>
      <w:r w:rsidR="00547594">
        <w:t xml:space="preserve">, GDPR </w:t>
      </w:r>
      <w:r w:rsidR="00547594" w:rsidRPr="00547594">
        <w:t>Art. 32(1)</w:t>
      </w:r>
      <w:r w:rsidR="00547594">
        <w:t>)</w:t>
      </w:r>
    </w:p>
    <w:p w14:paraId="3F4B3126" w14:textId="2ABD00AE" w:rsidR="0079229F" w:rsidRPr="0079229F" w:rsidRDefault="0079229F" w:rsidP="0079229F">
      <w:pPr>
        <w:numPr>
          <w:ilvl w:val="0"/>
          <w:numId w:val="9"/>
        </w:numPr>
      </w:pPr>
      <w:r w:rsidRPr="0079229F">
        <w:t>Conduct patch testing in lab before production.</w:t>
      </w:r>
      <w:r w:rsidR="0087422E">
        <w:t xml:space="preserve"> (NIST 2.0 </w:t>
      </w:r>
      <w:r w:rsidR="0087422E" w:rsidRPr="0087422E">
        <w:t>GV.RM-05</w:t>
      </w:r>
      <w:r w:rsidR="002D7160">
        <w:t>, ISO27001:2022 A.8.32</w:t>
      </w:r>
      <w:r w:rsidR="008B45AE">
        <w:t>, GDPR Art32(1)</w:t>
      </w:r>
      <w:r w:rsidR="0087422E">
        <w:t>)</w:t>
      </w:r>
    </w:p>
    <w:p w14:paraId="42A96156" w14:textId="72483EDB" w:rsidR="0079229F" w:rsidRPr="0079229F" w:rsidRDefault="0079229F" w:rsidP="0079229F">
      <w:pPr>
        <w:numPr>
          <w:ilvl w:val="0"/>
          <w:numId w:val="9"/>
        </w:numPr>
      </w:pPr>
      <w:r w:rsidRPr="0079229F">
        <w:t>Implement least privilege access control.</w:t>
      </w:r>
      <w:r w:rsidR="000E242B">
        <w:t xml:space="preserve"> (ISO27001:2022 A.5.15, NIST 2.0 </w:t>
      </w:r>
      <w:proofErr w:type="gramStart"/>
      <w:r w:rsidR="000E242B" w:rsidRPr="000E242B">
        <w:t>PR.AA</w:t>
      </w:r>
      <w:proofErr w:type="gramEnd"/>
      <w:r w:rsidR="000E242B" w:rsidRPr="000E242B">
        <w:t>-05</w:t>
      </w:r>
      <w:r w:rsidR="000E242B">
        <w:t>, GDPR Art32(1))</w:t>
      </w:r>
    </w:p>
    <w:p w14:paraId="345F71F9" w14:textId="77777777" w:rsidR="00003B87" w:rsidRPr="0079229F" w:rsidRDefault="0079229F" w:rsidP="00003B87">
      <w:pPr>
        <w:numPr>
          <w:ilvl w:val="0"/>
          <w:numId w:val="9"/>
        </w:numPr>
      </w:pPr>
      <w:r w:rsidRPr="0079229F">
        <w:t>Train staff on compliance awareness.</w:t>
      </w:r>
      <w:r w:rsidR="00800553">
        <w:t xml:space="preserve"> (NIST 2.0 </w:t>
      </w:r>
      <w:r w:rsidR="00800553" w:rsidRPr="00800553">
        <w:t>PR.AT-01</w:t>
      </w:r>
      <w:r w:rsidR="00800553">
        <w:t>,</w:t>
      </w:r>
      <w:r w:rsidR="00003B87">
        <w:t xml:space="preserve"> ISO27001:2022 </w:t>
      </w:r>
      <w:r w:rsidR="00003B87" w:rsidRPr="00003B87">
        <w:t>A.6.3</w:t>
      </w:r>
      <w:r w:rsidR="00003B87">
        <w:t>, GDPR Art32(1))</w:t>
      </w:r>
    </w:p>
    <w:p w14:paraId="7707F49C" w14:textId="4CA41FFE" w:rsidR="0079229F" w:rsidRPr="0079229F" w:rsidRDefault="0079229F" w:rsidP="00003B87">
      <w:pPr>
        <w:ind w:left="720"/>
      </w:pPr>
    </w:p>
    <w:p w14:paraId="073FF2BF" w14:textId="77777777" w:rsidR="0079229F" w:rsidRDefault="00000000" w:rsidP="0079229F">
      <w:r>
        <w:pict w14:anchorId="65D0231F">
          <v:rect id="_x0000_i1030" style="width:0;height:1.5pt" o:hralign="center" o:hrstd="t" o:hr="t" fillcolor="#a0a0a0" stroked="f"/>
        </w:pict>
      </w:r>
    </w:p>
    <w:p w14:paraId="6614DCB8" w14:textId="77777777" w:rsidR="00AB2928" w:rsidRPr="0079229F" w:rsidRDefault="00AB2928" w:rsidP="0079229F"/>
    <w:p w14:paraId="3B50366B" w14:textId="77777777" w:rsidR="0079229F" w:rsidRPr="0079229F" w:rsidRDefault="0079229F" w:rsidP="0079229F">
      <w:pPr>
        <w:rPr>
          <w:b/>
          <w:bCs/>
        </w:rPr>
      </w:pPr>
      <w:r w:rsidRPr="0079229F">
        <w:rPr>
          <w:b/>
          <w:bCs/>
        </w:rPr>
        <w:lastRenderedPageBreak/>
        <w:t>5. Monitoring &amp; Auditing</w:t>
      </w:r>
    </w:p>
    <w:p w14:paraId="0F448715" w14:textId="77777777" w:rsidR="0079229F" w:rsidRPr="0079229F" w:rsidRDefault="0079229F" w:rsidP="0079229F">
      <w:r w:rsidRPr="0079229F">
        <w:rPr>
          <w:b/>
          <w:bCs/>
        </w:rPr>
        <w:t>Compliance Verification Activities:</w:t>
      </w:r>
    </w:p>
    <w:p w14:paraId="52FEECCC" w14:textId="1C83A427" w:rsidR="0079229F" w:rsidRDefault="0079229F" w:rsidP="0079229F">
      <w:pPr>
        <w:numPr>
          <w:ilvl w:val="0"/>
          <w:numId w:val="10"/>
        </w:numPr>
      </w:pPr>
      <w:r w:rsidRPr="0079229F">
        <w:t>Weekly vulnerability scans (</w:t>
      </w:r>
      <w:r w:rsidR="00D12CB9">
        <w:t xml:space="preserve">Nmap, </w:t>
      </w:r>
      <w:r w:rsidRPr="0079229F">
        <w:t>Nessus/OpenVAS).</w:t>
      </w:r>
    </w:p>
    <w:p w14:paraId="28B73830" w14:textId="4C3B806B" w:rsidR="00820147" w:rsidRDefault="00820147" w:rsidP="00820147">
      <w:pPr>
        <w:ind w:left="720"/>
      </w:pPr>
      <w:r>
        <w:t xml:space="preserve">This is essentially done to detect </w:t>
      </w:r>
      <w:r w:rsidRPr="00820147">
        <w:t>outdated software, open ports</w:t>
      </w:r>
      <w:r w:rsidR="005869F2">
        <w:t xml:space="preserve"> and</w:t>
      </w:r>
      <w:r w:rsidRPr="00820147">
        <w:t xml:space="preserve"> misconfigurations</w:t>
      </w:r>
      <w:r>
        <w:t xml:space="preserve">. (ISO27001:2022 A.8.8, </w:t>
      </w:r>
      <w:r w:rsidR="00C9358F">
        <w:t>GDPR Art32(1)</w:t>
      </w:r>
      <w:r>
        <w:t>)</w:t>
      </w:r>
    </w:p>
    <w:p w14:paraId="18CF227B" w14:textId="17F350D9" w:rsidR="0079229F" w:rsidRDefault="0079229F" w:rsidP="00820147">
      <w:pPr>
        <w:pStyle w:val="ListParagraph"/>
        <w:numPr>
          <w:ilvl w:val="0"/>
          <w:numId w:val="15"/>
        </w:numPr>
        <w:ind w:left="720"/>
      </w:pPr>
      <w:r w:rsidRPr="0079229F">
        <w:t>Monthly compliance audits mapped to NDPR, GDPR, ISO 27001 Annex A controls.</w:t>
      </w:r>
    </w:p>
    <w:p w14:paraId="3385AA08" w14:textId="2B50069B" w:rsidR="00261CD2" w:rsidRPr="0079229F" w:rsidRDefault="00261CD2" w:rsidP="00261CD2">
      <w:pPr>
        <w:pStyle w:val="ListParagraph"/>
      </w:pPr>
      <w:r>
        <w:t xml:space="preserve">These are checks done to </w:t>
      </w:r>
      <w:r w:rsidRPr="00261CD2">
        <w:t>ensure that the organization is meeting regulatory and framework requirements</w:t>
      </w:r>
      <w:r>
        <w:t xml:space="preserve"> (ISO27001:2022 </w:t>
      </w:r>
      <w:r w:rsidRPr="00261CD2">
        <w:t>A.5.36</w:t>
      </w:r>
      <w:r>
        <w:t xml:space="preserve">, </w:t>
      </w:r>
      <w:r w:rsidRPr="00261CD2">
        <w:t>GDPR Art 24</w:t>
      </w:r>
      <w:r>
        <w:t>)</w:t>
      </w:r>
    </w:p>
    <w:p w14:paraId="5D6A9063" w14:textId="77777777" w:rsidR="0079229F" w:rsidRDefault="0079229F" w:rsidP="0079229F">
      <w:pPr>
        <w:numPr>
          <w:ilvl w:val="0"/>
          <w:numId w:val="10"/>
        </w:numPr>
      </w:pPr>
      <w:r w:rsidRPr="0079229F">
        <w:t>Log analysis for anomalies and unauthorized access attempts.</w:t>
      </w:r>
    </w:p>
    <w:p w14:paraId="535A60E2" w14:textId="182D559A" w:rsidR="0097452D" w:rsidRPr="0097452D" w:rsidRDefault="0097452D" w:rsidP="0097452D">
      <w:pPr>
        <w:ind w:left="720"/>
      </w:pPr>
      <w:r>
        <w:t>S</w:t>
      </w:r>
      <w:r w:rsidRPr="0097452D">
        <w:t xml:space="preserve">ystem logs, firewall logs, and application logs </w:t>
      </w:r>
      <w:r>
        <w:t xml:space="preserve">are reviewed </w:t>
      </w:r>
      <w:r w:rsidRPr="0097452D">
        <w:t>to detect suspicious activity</w:t>
      </w:r>
      <w:r>
        <w:t xml:space="preserve"> like unauthorized login attempts, this is usually done using SIEM tools like Splunk (</w:t>
      </w:r>
      <w:r w:rsidRPr="0097452D">
        <w:t>ISO 27001:2022 A.8.15</w:t>
      </w:r>
      <w:r>
        <w:t>&amp;16</w:t>
      </w:r>
      <w:r w:rsidR="005F2B9B">
        <w:t xml:space="preserve">, NIST </w:t>
      </w:r>
      <w:r w:rsidR="00CC11F2">
        <w:t xml:space="preserve">2.0 </w:t>
      </w:r>
      <w:r w:rsidR="005F2B9B">
        <w:t>DE.CM-1</w:t>
      </w:r>
      <w:r>
        <w:t>)</w:t>
      </w:r>
    </w:p>
    <w:p w14:paraId="5C321FA6" w14:textId="77777777" w:rsidR="0079229F" w:rsidRDefault="0079229F" w:rsidP="0079229F">
      <w:pPr>
        <w:numPr>
          <w:ilvl w:val="0"/>
          <w:numId w:val="10"/>
        </w:numPr>
      </w:pPr>
      <w:r w:rsidRPr="0079229F">
        <w:t xml:space="preserve">Penetration testing simulations on </w:t>
      </w:r>
      <w:proofErr w:type="spellStart"/>
      <w:r w:rsidRPr="0079229F">
        <w:t>Metasploitable</w:t>
      </w:r>
      <w:proofErr w:type="spellEnd"/>
      <w:r w:rsidRPr="0079229F">
        <w:t xml:space="preserve"> 2 every quarter.</w:t>
      </w:r>
    </w:p>
    <w:p w14:paraId="6026AF9A" w14:textId="5ACE7946" w:rsidR="004B7B50" w:rsidRPr="0079229F" w:rsidRDefault="004B7B50" w:rsidP="004B7B50">
      <w:pPr>
        <w:ind w:left="720"/>
      </w:pPr>
      <w:r w:rsidRPr="004B7B50">
        <w:t>A practical security test</w:t>
      </w:r>
      <w:r>
        <w:t xml:space="preserve"> is done </w:t>
      </w:r>
      <w:r w:rsidRPr="004B7B50">
        <w:t>where ethical hackers simulate real-world cyberattacks on the vulnerable test environment (</w:t>
      </w:r>
      <w:proofErr w:type="spellStart"/>
      <w:r w:rsidRPr="004B7B50">
        <w:t>Metasploitable</w:t>
      </w:r>
      <w:proofErr w:type="spellEnd"/>
      <w:r w:rsidRPr="004B7B50">
        <w:t xml:space="preserve"> 2).</w:t>
      </w:r>
      <w:r>
        <w:t xml:space="preserve"> (</w:t>
      </w:r>
      <w:r w:rsidRPr="004B7B50">
        <w:t>ISO 27001:2022 A.8.29</w:t>
      </w:r>
      <w:r>
        <w:t xml:space="preserve">, </w:t>
      </w:r>
      <w:r w:rsidRPr="004B7B50">
        <w:t>ID.RA-05</w:t>
      </w:r>
      <w:r w:rsidR="00722F3F">
        <w:t>, GDPR Art32&amp;33</w:t>
      </w:r>
      <w:r>
        <w:t>)</w:t>
      </w:r>
    </w:p>
    <w:p w14:paraId="09F4FC8C" w14:textId="77777777" w:rsidR="0079229F" w:rsidRPr="0079229F" w:rsidRDefault="0079229F" w:rsidP="0079229F">
      <w:r w:rsidRPr="0079229F">
        <w:rPr>
          <w:b/>
          <w:bCs/>
        </w:rPr>
        <w:t>Audit Review Frequency:</w:t>
      </w:r>
    </w:p>
    <w:p w14:paraId="16894727" w14:textId="46EEB926" w:rsidR="0079229F" w:rsidRPr="0079229F" w:rsidRDefault="0079229F" w:rsidP="0079229F">
      <w:pPr>
        <w:numPr>
          <w:ilvl w:val="0"/>
          <w:numId w:val="11"/>
        </w:numPr>
      </w:pPr>
      <w:r w:rsidRPr="0079229F">
        <w:rPr>
          <w:b/>
          <w:bCs/>
        </w:rPr>
        <w:t>Weekly:</w:t>
      </w:r>
      <w:r w:rsidRPr="0079229F">
        <w:t xml:space="preserve"> Technical vulnerability scans</w:t>
      </w:r>
      <w:r w:rsidR="005162F1">
        <w:t>, new vulnerabilities emerge daily so w</w:t>
      </w:r>
      <w:r w:rsidR="005162F1" w:rsidRPr="005162F1">
        <w:t>eekly scanning reduces th</w:t>
      </w:r>
      <w:r w:rsidR="005162F1">
        <w:t>e</w:t>
      </w:r>
      <w:r w:rsidR="005162F1" w:rsidRPr="005162F1">
        <w:t xml:space="preserve"> window of exposure.</w:t>
      </w:r>
    </w:p>
    <w:p w14:paraId="2B7B50CD" w14:textId="77777777" w:rsidR="0079229F" w:rsidRPr="0079229F" w:rsidRDefault="0079229F" w:rsidP="0079229F">
      <w:pPr>
        <w:numPr>
          <w:ilvl w:val="0"/>
          <w:numId w:val="11"/>
        </w:numPr>
      </w:pPr>
      <w:r w:rsidRPr="0079229F">
        <w:rPr>
          <w:b/>
          <w:bCs/>
        </w:rPr>
        <w:t>Monthly:</w:t>
      </w:r>
      <w:r w:rsidRPr="0079229F">
        <w:t xml:space="preserve"> Internal compliance audit.</w:t>
      </w:r>
    </w:p>
    <w:p w14:paraId="34D793B4" w14:textId="7BBC9621" w:rsidR="0079229F" w:rsidRPr="0079229F" w:rsidRDefault="0079229F" w:rsidP="0079229F">
      <w:pPr>
        <w:numPr>
          <w:ilvl w:val="0"/>
          <w:numId w:val="11"/>
        </w:numPr>
      </w:pPr>
      <w:r w:rsidRPr="0079229F">
        <w:rPr>
          <w:b/>
          <w:bCs/>
        </w:rPr>
        <w:t>Quarterly:</w:t>
      </w:r>
      <w:r w:rsidRPr="0079229F">
        <w:t xml:space="preserve"> Oversight committee review &amp; management report.</w:t>
      </w:r>
      <w:r w:rsidR="00502BDD">
        <w:t xml:space="preserve"> Reviews are done quarterly to give opportunity for strategic visibility.</w:t>
      </w:r>
    </w:p>
    <w:p w14:paraId="4D4A21F4" w14:textId="77777777" w:rsidR="0079229F" w:rsidRPr="0079229F" w:rsidRDefault="00000000" w:rsidP="0079229F">
      <w:r>
        <w:pict w14:anchorId="7CE03D24">
          <v:rect id="_x0000_i1031" style="width:0;height:1.5pt" o:hralign="center" o:hrstd="t" o:hr="t" fillcolor="#a0a0a0" stroked="f"/>
        </w:pict>
      </w:r>
    </w:p>
    <w:p w14:paraId="1DEB4E30" w14:textId="77777777" w:rsidR="00127318" w:rsidRDefault="00127318" w:rsidP="0079229F">
      <w:pPr>
        <w:rPr>
          <w:b/>
          <w:bCs/>
        </w:rPr>
      </w:pPr>
    </w:p>
    <w:p w14:paraId="500D785B" w14:textId="77777777" w:rsidR="00127318" w:rsidRDefault="00127318" w:rsidP="0079229F">
      <w:pPr>
        <w:rPr>
          <w:b/>
          <w:bCs/>
        </w:rPr>
      </w:pPr>
    </w:p>
    <w:p w14:paraId="30056502" w14:textId="67234B52" w:rsidR="0079229F" w:rsidRPr="0079229F" w:rsidRDefault="0079229F" w:rsidP="0079229F">
      <w:pPr>
        <w:rPr>
          <w:b/>
          <w:bCs/>
        </w:rPr>
      </w:pPr>
      <w:r w:rsidRPr="0079229F">
        <w:rPr>
          <w:b/>
          <w:bCs/>
        </w:rPr>
        <w:t>6. Final Steps</w:t>
      </w:r>
    </w:p>
    <w:p w14:paraId="5A00CF9F" w14:textId="77777777" w:rsidR="0079229F" w:rsidRPr="0079229F" w:rsidRDefault="0079229F" w:rsidP="0079229F">
      <w:r w:rsidRPr="0079229F">
        <w:rPr>
          <w:b/>
          <w:bCs/>
        </w:rPr>
        <w:t>Continuous Improvement Strategies:</w:t>
      </w:r>
    </w:p>
    <w:p w14:paraId="6C29F50E" w14:textId="268021C7" w:rsidR="0079229F" w:rsidRPr="0079229F" w:rsidRDefault="0079229F" w:rsidP="0079229F">
      <w:pPr>
        <w:numPr>
          <w:ilvl w:val="0"/>
          <w:numId w:val="12"/>
        </w:numPr>
      </w:pPr>
      <w:r w:rsidRPr="0079229F">
        <w:lastRenderedPageBreak/>
        <w:t xml:space="preserve">Adopt a </w:t>
      </w:r>
      <w:r w:rsidRPr="0079229F">
        <w:rPr>
          <w:b/>
          <w:bCs/>
        </w:rPr>
        <w:t>continuous monitoring program</w:t>
      </w:r>
      <w:r w:rsidRPr="0079229F">
        <w:t xml:space="preserve"> with automated alerts for vulnerabilities</w:t>
      </w:r>
      <w:r w:rsidR="00127318">
        <w:t xml:space="preserve"> instead of waiting for monthly/quarterly scans</w:t>
      </w:r>
      <w:r w:rsidRPr="0079229F">
        <w:t>.</w:t>
      </w:r>
      <w:r w:rsidR="00127318">
        <w:t xml:space="preserve"> Tools like </w:t>
      </w:r>
      <w:proofErr w:type="gramStart"/>
      <w:r w:rsidR="00127318">
        <w:t>Splunk ,</w:t>
      </w:r>
      <w:proofErr w:type="gramEnd"/>
      <w:r w:rsidR="00127318">
        <w:t xml:space="preserve"> OpenVAS can do this.</w:t>
      </w:r>
    </w:p>
    <w:p w14:paraId="20AB0250" w14:textId="47427C62" w:rsidR="0079229F" w:rsidRPr="0079229F" w:rsidRDefault="0079229F" w:rsidP="0079229F">
      <w:pPr>
        <w:numPr>
          <w:ilvl w:val="0"/>
          <w:numId w:val="12"/>
        </w:numPr>
      </w:pPr>
      <w:r w:rsidRPr="0079229F">
        <w:t xml:space="preserve">Establish </w:t>
      </w:r>
      <w:r w:rsidRPr="0079229F">
        <w:rPr>
          <w:b/>
          <w:bCs/>
        </w:rPr>
        <w:t>compliance KPIs</w:t>
      </w:r>
      <w:r w:rsidR="00E20AE2">
        <w:rPr>
          <w:b/>
          <w:bCs/>
        </w:rPr>
        <w:t xml:space="preserve"> (Key Performance Indicators)</w:t>
      </w:r>
      <w:r w:rsidRPr="0079229F">
        <w:t>, including:</w:t>
      </w:r>
    </w:p>
    <w:p w14:paraId="5B848403" w14:textId="1A697D85" w:rsidR="0079229F" w:rsidRPr="0079229F" w:rsidRDefault="0079229F" w:rsidP="00311854">
      <w:pPr>
        <w:numPr>
          <w:ilvl w:val="1"/>
          <w:numId w:val="16"/>
        </w:numPr>
      </w:pPr>
      <w:r w:rsidRPr="0079229F">
        <w:t>% of vulnerabilities patched within SLA</w:t>
      </w:r>
      <w:r w:rsidR="00127318">
        <w:t xml:space="preserve"> </w:t>
      </w:r>
      <w:proofErr w:type="spellStart"/>
      <w:r w:rsidR="00127318">
        <w:t>eg</w:t>
      </w:r>
      <w:proofErr w:type="spellEnd"/>
      <w:r w:rsidR="00127318">
        <w:t xml:space="preserve"> if critical patches must be applied within </w:t>
      </w:r>
      <w:r w:rsidR="005B7502">
        <w:t>14</w:t>
      </w:r>
      <w:r w:rsidR="00127318">
        <w:t>days and only 50% is patche</w:t>
      </w:r>
      <w:r w:rsidR="00A3418F">
        <w:t>d</w:t>
      </w:r>
      <w:r w:rsidR="00127318">
        <w:t>, then compliance is weak</w:t>
      </w:r>
      <w:r w:rsidRPr="0079229F">
        <w:t>.</w:t>
      </w:r>
    </w:p>
    <w:p w14:paraId="05C955D6" w14:textId="1D73EEFE" w:rsidR="0079229F" w:rsidRPr="0079229F" w:rsidRDefault="0079229F" w:rsidP="00311854">
      <w:pPr>
        <w:numPr>
          <w:ilvl w:val="1"/>
          <w:numId w:val="16"/>
        </w:numPr>
      </w:pPr>
      <w:r w:rsidRPr="0079229F">
        <w:t>% of systems aligned with encryption and access control policies</w:t>
      </w:r>
      <w:r w:rsidR="007F2906">
        <w:t xml:space="preserve"> </w:t>
      </w:r>
      <w:proofErr w:type="spellStart"/>
      <w:r w:rsidR="007F2906">
        <w:t>eg</w:t>
      </w:r>
      <w:proofErr w:type="spellEnd"/>
      <w:r w:rsidR="007F2906">
        <w:t xml:space="preserve"> if 90% of systems use encryption but 10% still run unencrypted services, then that is a gap</w:t>
      </w:r>
      <w:r w:rsidRPr="0079229F">
        <w:t>.</w:t>
      </w:r>
      <w:r w:rsidR="005B7502">
        <w:t xml:space="preserve"> Compliance should be 100%.</w:t>
      </w:r>
    </w:p>
    <w:p w14:paraId="17EEB80E" w14:textId="019F33AC" w:rsidR="0079229F" w:rsidRDefault="0079229F" w:rsidP="00311854">
      <w:pPr>
        <w:numPr>
          <w:ilvl w:val="1"/>
          <w:numId w:val="16"/>
        </w:numPr>
      </w:pPr>
      <w:r w:rsidRPr="0079229F">
        <w:t>Number of non-compliance findings per audit cycle.</w:t>
      </w:r>
      <w:r w:rsidR="007F2906">
        <w:t xml:space="preserve"> If audits keep flagging the same issues, it shows lack of </w:t>
      </w:r>
      <w:r w:rsidR="00A947A1">
        <w:t>execution.</w:t>
      </w:r>
    </w:p>
    <w:p w14:paraId="58E8BCF9" w14:textId="15E6B368" w:rsidR="007F2906" w:rsidRPr="0079229F" w:rsidRDefault="00231410" w:rsidP="007F2906">
      <w:pPr>
        <w:ind w:left="1080"/>
      </w:pPr>
      <w:r>
        <w:t xml:space="preserve">       </w:t>
      </w:r>
      <w:r w:rsidR="007F2906">
        <w:t>These KPIs help management to measure, report and improve security.</w:t>
      </w:r>
    </w:p>
    <w:p w14:paraId="3C17A53D" w14:textId="77777777" w:rsidR="0079229F" w:rsidRDefault="0079229F" w:rsidP="0079229F">
      <w:pPr>
        <w:numPr>
          <w:ilvl w:val="0"/>
          <w:numId w:val="12"/>
        </w:numPr>
      </w:pPr>
      <w:r w:rsidRPr="0079229F">
        <w:t xml:space="preserve">Conduct </w:t>
      </w:r>
      <w:r w:rsidRPr="0079229F">
        <w:rPr>
          <w:b/>
          <w:bCs/>
        </w:rPr>
        <w:t>annual compliance training</w:t>
      </w:r>
      <w:r w:rsidRPr="0079229F">
        <w:t xml:space="preserve"> for all staff handling health data.</w:t>
      </w:r>
    </w:p>
    <w:p w14:paraId="3F6F83A7" w14:textId="522A7B15" w:rsidR="00231410" w:rsidRDefault="00231410" w:rsidP="00231410">
      <w:pPr>
        <w:pStyle w:val="ListParagraph"/>
        <w:numPr>
          <w:ilvl w:val="0"/>
          <w:numId w:val="17"/>
        </w:numPr>
        <w:ind w:left="1440"/>
      </w:pPr>
      <w:r>
        <w:t xml:space="preserve">Staff are often the weakest target (phishing, </w:t>
      </w:r>
      <w:r w:rsidRPr="00231410">
        <w:t>mishandling personal data, weak passwords</w:t>
      </w:r>
      <w:r>
        <w:t>).</w:t>
      </w:r>
    </w:p>
    <w:p w14:paraId="0FCCEB13" w14:textId="77777777" w:rsidR="00C25D5D" w:rsidRDefault="00C25D5D" w:rsidP="00C25D5D">
      <w:pPr>
        <w:pStyle w:val="ListParagraph"/>
        <w:ind w:left="1440"/>
      </w:pPr>
    </w:p>
    <w:p w14:paraId="418AE45F" w14:textId="7578D05D" w:rsidR="00C25D5D" w:rsidRPr="00C25D5D" w:rsidRDefault="00C25D5D" w:rsidP="00C25D5D">
      <w:pPr>
        <w:pStyle w:val="ListParagraph"/>
        <w:numPr>
          <w:ilvl w:val="0"/>
          <w:numId w:val="17"/>
        </w:numPr>
        <w:ind w:left="1440"/>
      </w:pPr>
      <w:r w:rsidRPr="00C25D5D">
        <w:t>Annual training ensures employees understand:</w:t>
      </w:r>
    </w:p>
    <w:p w14:paraId="0867DC7E" w14:textId="77777777" w:rsidR="00C25D5D" w:rsidRPr="00C25D5D" w:rsidRDefault="00C25D5D" w:rsidP="00C25D5D">
      <w:pPr>
        <w:pStyle w:val="ListParagraph"/>
        <w:numPr>
          <w:ilvl w:val="0"/>
          <w:numId w:val="17"/>
        </w:numPr>
        <w:ind w:left="1530" w:firstLine="0"/>
      </w:pPr>
      <w:r w:rsidRPr="00C25D5D">
        <w:t>GDPR obligations (handling health data properly).</w:t>
      </w:r>
    </w:p>
    <w:p w14:paraId="1382884C" w14:textId="0D0BD05E" w:rsidR="00C25D5D" w:rsidRPr="00C25D5D" w:rsidRDefault="00C25D5D" w:rsidP="00C25D5D">
      <w:pPr>
        <w:pStyle w:val="ListParagraph"/>
        <w:numPr>
          <w:ilvl w:val="0"/>
          <w:numId w:val="17"/>
        </w:numPr>
        <w:ind w:left="2160" w:hanging="630"/>
      </w:pPr>
      <w:r w:rsidRPr="00C25D5D">
        <w:t xml:space="preserve">Security best practices (no sharing accounts, phishing </w:t>
      </w:r>
      <w:proofErr w:type="gramStart"/>
      <w:r w:rsidRPr="00C25D5D">
        <w:t xml:space="preserve">awareness, </w:t>
      </w:r>
      <w:r>
        <w:t xml:space="preserve">  </w:t>
      </w:r>
      <w:proofErr w:type="gramEnd"/>
      <w:r>
        <w:t xml:space="preserve">    </w:t>
      </w:r>
      <w:r w:rsidRPr="00C25D5D">
        <w:t>reporting incidents).</w:t>
      </w:r>
    </w:p>
    <w:p w14:paraId="11B379C5" w14:textId="77777777" w:rsidR="00C25D5D" w:rsidRDefault="00C25D5D" w:rsidP="00C25D5D">
      <w:pPr>
        <w:pStyle w:val="ListParagraph"/>
        <w:numPr>
          <w:ilvl w:val="0"/>
          <w:numId w:val="17"/>
        </w:numPr>
        <w:ind w:left="1530" w:firstLine="0"/>
      </w:pPr>
      <w:r w:rsidRPr="00C25D5D">
        <w:t>Local laws (NDPR for Nigeria, HIPAA if in US context).</w:t>
      </w:r>
    </w:p>
    <w:p w14:paraId="4C559A59" w14:textId="77777777" w:rsidR="00C25D5D" w:rsidRPr="00C25D5D" w:rsidRDefault="00C25D5D" w:rsidP="00C25D5D">
      <w:pPr>
        <w:pStyle w:val="ListParagraph"/>
        <w:ind w:left="1530"/>
      </w:pPr>
    </w:p>
    <w:p w14:paraId="493E1BE3" w14:textId="69F8B157" w:rsidR="00C25D5D" w:rsidRPr="0079229F" w:rsidRDefault="00C25D5D" w:rsidP="00C25D5D">
      <w:pPr>
        <w:pStyle w:val="ListParagraph"/>
        <w:ind w:left="1440"/>
      </w:pPr>
      <w:r w:rsidRPr="00C25D5D">
        <w:t>This reduces insider risks and ensures legal compliance.</w:t>
      </w:r>
    </w:p>
    <w:p w14:paraId="722AD8D1" w14:textId="2622BCF5" w:rsidR="0079229F" w:rsidRDefault="0079229F" w:rsidP="0079229F">
      <w:pPr>
        <w:numPr>
          <w:ilvl w:val="0"/>
          <w:numId w:val="12"/>
        </w:numPr>
      </w:pPr>
      <w:r w:rsidRPr="0079229F">
        <w:t>Benchmark compliance posture against updated standards (GDPR</w:t>
      </w:r>
      <w:r w:rsidR="003820D7">
        <w:t xml:space="preserve">, </w:t>
      </w:r>
      <w:r w:rsidRPr="0079229F">
        <w:t>ISO).</w:t>
      </w:r>
    </w:p>
    <w:p w14:paraId="2EB4BDC4" w14:textId="187B566C" w:rsidR="003820D7" w:rsidRPr="0079229F" w:rsidRDefault="003820D7" w:rsidP="0079229F">
      <w:pPr>
        <w:numPr>
          <w:ilvl w:val="0"/>
          <w:numId w:val="12"/>
        </w:numPr>
      </w:pPr>
      <w:r>
        <w:t xml:space="preserve">ISO 27001 standards and GDPR regulations are not static, </w:t>
      </w:r>
      <w:r w:rsidR="00A8680F">
        <w:t>they</w:t>
      </w:r>
      <w:r>
        <w:t xml:space="preserve"> get updated. Benchmark is comparing your current security program </w:t>
      </w:r>
      <w:r w:rsidR="00A8680F">
        <w:t>with</w:t>
      </w:r>
      <w:r>
        <w:t xml:space="preserve"> the latest versions to see if any gap exists. </w:t>
      </w:r>
      <w:r w:rsidRPr="003820D7">
        <w:t xml:space="preserve">This ensures the </w:t>
      </w:r>
      <w:r>
        <w:t>organization</w:t>
      </w:r>
      <w:r w:rsidRPr="003820D7">
        <w:t xml:space="preserve"> is not “stuck in old compliance”</w:t>
      </w:r>
      <w:r>
        <w:t>.</w:t>
      </w:r>
    </w:p>
    <w:p w14:paraId="43B7CDE4" w14:textId="2996436A" w:rsidR="009E0141" w:rsidRDefault="00000000" w:rsidP="0079229F">
      <w:r>
        <w:pict w14:anchorId="419688F6">
          <v:rect id="_x0000_i1032" style="width:0;height:1.5pt" o:hralign="center" o:hrstd="t" o:hr="t" fillcolor="#a0a0a0" stroked="f"/>
        </w:pic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3577"/>
        <w:gridCol w:w="2590"/>
        <w:gridCol w:w="1362"/>
      </w:tblGrid>
      <w:tr w:rsidR="00F36F39" w:rsidRPr="00722BEB" w14:paraId="461290FE" w14:textId="77777777" w:rsidTr="00722B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5F6502" w14:textId="77777777" w:rsidR="00722BEB" w:rsidRPr="00722BEB" w:rsidRDefault="00722BEB" w:rsidP="00722BEB">
            <w:pPr>
              <w:rPr>
                <w:b/>
                <w:bCs/>
              </w:rPr>
            </w:pPr>
            <w:r w:rsidRPr="00722BEB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0EB2D46C" w14:textId="77777777" w:rsidR="00722BEB" w:rsidRPr="00722BEB" w:rsidRDefault="00722BEB" w:rsidP="00722BEB">
            <w:pPr>
              <w:rPr>
                <w:b/>
                <w:bCs/>
              </w:rPr>
            </w:pPr>
            <w:r w:rsidRPr="00722BEB">
              <w:rPr>
                <w:b/>
                <w:bCs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7D8BECC7" w14:textId="77777777" w:rsidR="00722BEB" w:rsidRPr="00722BEB" w:rsidRDefault="00722BEB" w:rsidP="00722BEB">
            <w:pPr>
              <w:rPr>
                <w:b/>
                <w:bCs/>
              </w:rPr>
            </w:pPr>
            <w:r w:rsidRPr="00722BEB">
              <w:rPr>
                <w:b/>
                <w:bCs/>
              </w:rPr>
              <w:t>Owner/Responsibility</w:t>
            </w:r>
          </w:p>
        </w:tc>
        <w:tc>
          <w:tcPr>
            <w:tcW w:w="0" w:type="auto"/>
            <w:vAlign w:val="center"/>
            <w:hideMark/>
          </w:tcPr>
          <w:p w14:paraId="7C077B4F" w14:textId="77777777" w:rsidR="00722BEB" w:rsidRPr="00722BEB" w:rsidRDefault="00722BEB" w:rsidP="00722BEB">
            <w:pPr>
              <w:rPr>
                <w:b/>
                <w:bCs/>
              </w:rPr>
            </w:pPr>
            <w:r w:rsidRPr="00722BEB">
              <w:rPr>
                <w:b/>
                <w:bCs/>
              </w:rPr>
              <w:t>Timeline</w:t>
            </w:r>
          </w:p>
        </w:tc>
      </w:tr>
      <w:tr w:rsidR="00F36F39" w:rsidRPr="00722BEB" w14:paraId="62991561" w14:textId="77777777" w:rsidTr="0072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12D86" w14:textId="77777777" w:rsidR="00722BEB" w:rsidRPr="00722BEB" w:rsidRDefault="00722BEB" w:rsidP="00722BEB">
            <w:r w:rsidRPr="00722BEB">
              <w:rPr>
                <w:b/>
                <w:bCs/>
              </w:rPr>
              <w:t>1. Overview</w:t>
            </w:r>
          </w:p>
        </w:tc>
        <w:tc>
          <w:tcPr>
            <w:tcW w:w="0" w:type="auto"/>
            <w:vAlign w:val="center"/>
            <w:hideMark/>
          </w:tcPr>
          <w:p w14:paraId="324C51EF" w14:textId="340BBA8B" w:rsidR="00722BEB" w:rsidRPr="00722BEB" w:rsidRDefault="00722BEB" w:rsidP="00722BEB">
            <w:r w:rsidRPr="00722BEB">
              <w:t xml:space="preserve">Goal: Strengthen cybersecurity posture &amp; protect patient health </w:t>
            </w:r>
            <w:r w:rsidRPr="00722BEB">
              <w:lastRenderedPageBreak/>
              <w:t xml:space="preserve">data. </w:t>
            </w:r>
            <w:proofErr w:type="gramStart"/>
            <w:r w:rsidRPr="00722BEB">
              <w:t>Align</w:t>
            </w:r>
            <w:proofErr w:type="gramEnd"/>
            <w:r w:rsidRPr="00722BEB">
              <w:t xml:space="preserve"> with NDPR, GDPR, ISO 27001</w:t>
            </w:r>
            <w:r w:rsidR="006D0633">
              <w:t>:2022</w:t>
            </w:r>
            <w:r w:rsidRPr="00722BEB">
              <w:t>, NIST CSF.</w:t>
            </w:r>
          </w:p>
        </w:tc>
        <w:tc>
          <w:tcPr>
            <w:tcW w:w="0" w:type="auto"/>
            <w:vAlign w:val="center"/>
            <w:hideMark/>
          </w:tcPr>
          <w:p w14:paraId="34F01903" w14:textId="77777777" w:rsidR="00722BEB" w:rsidRPr="00722BEB" w:rsidRDefault="00722BEB" w:rsidP="00722BEB">
            <w:r w:rsidRPr="00722BEB">
              <w:lastRenderedPageBreak/>
              <w:t>Oversight Committee</w:t>
            </w:r>
          </w:p>
        </w:tc>
        <w:tc>
          <w:tcPr>
            <w:tcW w:w="0" w:type="auto"/>
            <w:vAlign w:val="center"/>
            <w:hideMark/>
          </w:tcPr>
          <w:p w14:paraId="79FC6419" w14:textId="27C64394" w:rsidR="00722BEB" w:rsidRPr="00722BEB" w:rsidRDefault="00722BEB" w:rsidP="00722BEB">
            <w:r w:rsidRPr="00722BEB">
              <w:t>Kickoff</w:t>
            </w:r>
          </w:p>
        </w:tc>
      </w:tr>
      <w:tr w:rsidR="00F36F39" w:rsidRPr="00722BEB" w14:paraId="25AA9457" w14:textId="77777777" w:rsidTr="0072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625A6" w14:textId="77777777" w:rsidR="00722BEB" w:rsidRPr="00722BEB" w:rsidRDefault="00722BEB" w:rsidP="00722BEB">
            <w:r w:rsidRPr="00722BEB">
              <w:rPr>
                <w:b/>
                <w:bCs/>
              </w:rPr>
              <w:t>2. Key Milestones</w:t>
            </w:r>
          </w:p>
        </w:tc>
        <w:tc>
          <w:tcPr>
            <w:tcW w:w="0" w:type="auto"/>
            <w:vAlign w:val="center"/>
            <w:hideMark/>
          </w:tcPr>
          <w:p w14:paraId="236F0B00" w14:textId="77777777" w:rsidR="00722BEB" w:rsidRPr="00722BEB" w:rsidRDefault="00722BEB" w:rsidP="00722BEB"/>
        </w:tc>
        <w:tc>
          <w:tcPr>
            <w:tcW w:w="0" w:type="auto"/>
            <w:vAlign w:val="center"/>
            <w:hideMark/>
          </w:tcPr>
          <w:p w14:paraId="7605D397" w14:textId="77777777" w:rsidR="00722BEB" w:rsidRPr="00722BEB" w:rsidRDefault="00722BEB" w:rsidP="00722BEB"/>
        </w:tc>
        <w:tc>
          <w:tcPr>
            <w:tcW w:w="0" w:type="auto"/>
            <w:vAlign w:val="center"/>
            <w:hideMark/>
          </w:tcPr>
          <w:p w14:paraId="58934AD4" w14:textId="77777777" w:rsidR="00722BEB" w:rsidRPr="00722BEB" w:rsidRDefault="00722BEB" w:rsidP="00722BEB"/>
        </w:tc>
      </w:tr>
      <w:tr w:rsidR="00F36F39" w:rsidRPr="00722BEB" w14:paraId="2A8C076D" w14:textId="77777777" w:rsidTr="0072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9819C" w14:textId="77777777" w:rsidR="00722BEB" w:rsidRPr="00722BEB" w:rsidRDefault="00722BEB" w:rsidP="00722BEB">
            <w:r w:rsidRPr="00722BEB">
              <w:t>Phase 1 – Preparation</w:t>
            </w:r>
          </w:p>
        </w:tc>
        <w:tc>
          <w:tcPr>
            <w:tcW w:w="0" w:type="auto"/>
            <w:vAlign w:val="center"/>
            <w:hideMark/>
          </w:tcPr>
          <w:p w14:paraId="33BDF366" w14:textId="77777777" w:rsidR="00722BEB" w:rsidRPr="00722BEB" w:rsidRDefault="00722BEB" w:rsidP="00722BEB">
            <w:r w:rsidRPr="00722BEB">
              <w:t xml:space="preserve">Identify critical assets (databases, patient records). Map vulnerabilities in </w:t>
            </w:r>
            <w:proofErr w:type="spellStart"/>
            <w:r w:rsidRPr="00722BEB">
              <w:t>Metasploitable</w:t>
            </w:r>
            <w:proofErr w:type="spellEnd"/>
            <w:r w:rsidRPr="00722BEB">
              <w:t xml:space="preserve"> 2.</w:t>
            </w:r>
          </w:p>
        </w:tc>
        <w:tc>
          <w:tcPr>
            <w:tcW w:w="0" w:type="auto"/>
            <w:vAlign w:val="center"/>
            <w:hideMark/>
          </w:tcPr>
          <w:p w14:paraId="192F4C99" w14:textId="77777777" w:rsidR="00722BEB" w:rsidRPr="00722BEB" w:rsidRDefault="00722BEB" w:rsidP="00722BEB">
            <w:r w:rsidRPr="00722BEB">
              <w:t>IT Security Team</w:t>
            </w:r>
          </w:p>
        </w:tc>
        <w:tc>
          <w:tcPr>
            <w:tcW w:w="0" w:type="auto"/>
            <w:vAlign w:val="center"/>
            <w:hideMark/>
          </w:tcPr>
          <w:p w14:paraId="469A5A6E" w14:textId="7C1B5A8F" w:rsidR="00722BEB" w:rsidRPr="00722BEB" w:rsidRDefault="00722BEB" w:rsidP="00722BEB">
            <w:r w:rsidRPr="00722BEB">
              <w:t xml:space="preserve"> (Day 1–2)</w:t>
            </w:r>
          </w:p>
        </w:tc>
      </w:tr>
      <w:tr w:rsidR="00F36F39" w:rsidRPr="00722BEB" w14:paraId="07106B43" w14:textId="77777777" w:rsidTr="0072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5B5CA" w14:textId="77777777" w:rsidR="00722BEB" w:rsidRPr="00722BEB" w:rsidRDefault="00722BEB" w:rsidP="00722BEB">
            <w:r w:rsidRPr="00722BEB">
              <w:t>Phase 2 – Implementation</w:t>
            </w:r>
          </w:p>
        </w:tc>
        <w:tc>
          <w:tcPr>
            <w:tcW w:w="0" w:type="auto"/>
            <w:vAlign w:val="center"/>
            <w:hideMark/>
          </w:tcPr>
          <w:p w14:paraId="4B1BF461" w14:textId="77777777" w:rsidR="00722BEB" w:rsidRPr="00722BEB" w:rsidRDefault="00722BEB" w:rsidP="00722BEB">
            <w:r w:rsidRPr="00722BEB">
              <w:t>Apply remediation: patch outdated services, disable anonymous FTP/Telnet, enforce encryption.</w:t>
            </w:r>
          </w:p>
        </w:tc>
        <w:tc>
          <w:tcPr>
            <w:tcW w:w="0" w:type="auto"/>
            <w:vAlign w:val="center"/>
            <w:hideMark/>
          </w:tcPr>
          <w:p w14:paraId="0A7AF998" w14:textId="77777777" w:rsidR="00722BEB" w:rsidRPr="00722BEB" w:rsidRDefault="00722BEB" w:rsidP="00722BEB">
            <w:r w:rsidRPr="00722BEB">
              <w:t>System Admins / Compliance Officer</w:t>
            </w:r>
          </w:p>
        </w:tc>
        <w:tc>
          <w:tcPr>
            <w:tcW w:w="0" w:type="auto"/>
            <w:vAlign w:val="center"/>
            <w:hideMark/>
          </w:tcPr>
          <w:p w14:paraId="2AC5F338" w14:textId="001CDCCA" w:rsidR="00722BEB" w:rsidRPr="00722BEB" w:rsidRDefault="00722BEB" w:rsidP="00722BEB">
            <w:r w:rsidRPr="00722BEB">
              <w:t xml:space="preserve"> (D</w:t>
            </w:r>
            <w:r w:rsidR="00C80251">
              <w:t>a</w:t>
            </w:r>
            <w:r w:rsidRPr="00722BEB">
              <w:t>y 3–5)</w:t>
            </w:r>
          </w:p>
        </w:tc>
      </w:tr>
      <w:tr w:rsidR="00F36F39" w:rsidRPr="00722BEB" w14:paraId="243157E4" w14:textId="77777777" w:rsidTr="0072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F9A7F" w14:textId="77777777" w:rsidR="00722BEB" w:rsidRPr="00722BEB" w:rsidRDefault="00722BEB" w:rsidP="00722BEB">
            <w:r w:rsidRPr="00722BEB">
              <w:t>Phase 3 – Auditing Setup</w:t>
            </w:r>
          </w:p>
        </w:tc>
        <w:tc>
          <w:tcPr>
            <w:tcW w:w="0" w:type="auto"/>
            <w:vAlign w:val="center"/>
            <w:hideMark/>
          </w:tcPr>
          <w:p w14:paraId="5206B39B" w14:textId="77777777" w:rsidR="00722BEB" w:rsidRPr="00722BEB" w:rsidRDefault="00722BEB" w:rsidP="00722BEB">
            <w:r w:rsidRPr="00722BEB">
              <w:t>Establish auditing protocols (system logs, scans, intrusion detection). Define KPIs.</w:t>
            </w:r>
          </w:p>
        </w:tc>
        <w:tc>
          <w:tcPr>
            <w:tcW w:w="0" w:type="auto"/>
            <w:vAlign w:val="center"/>
            <w:hideMark/>
          </w:tcPr>
          <w:p w14:paraId="6625275C" w14:textId="77777777" w:rsidR="00722BEB" w:rsidRPr="00722BEB" w:rsidRDefault="00722BEB" w:rsidP="00722BEB">
            <w:r w:rsidRPr="00722BEB">
              <w:t>Compliance Officer / Oversight Committee</w:t>
            </w:r>
          </w:p>
        </w:tc>
        <w:tc>
          <w:tcPr>
            <w:tcW w:w="0" w:type="auto"/>
            <w:vAlign w:val="center"/>
            <w:hideMark/>
          </w:tcPr>
          <w:p w14:paraId="3A63DD66" w14:textId="1B7A1275" w:rsidR="00722BEB" w:rsidRPr="00722BEB" w:rsidRDefault="00722BEB" w:rsidP="00722BEB">
            <w:r w:rsidRPr="00722BEB">
              <w:t>(Day 6–7)</w:t>
            </w:r>
          </w:p>
        </w:tc>
      </w:tr>
      <w:tr w:rsidR="00F36F39" w:rsidRPr="00722BEB" w14:paraId="22573BFE" w14:textId="77777777" w:rsidTr="0072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58465" w14:textId="77777777" w:rsidR="00722BEB" w:rsidRPr="00722BEB" w:rsidRDefault="00722BEB" w:rsidP="00722BEB">
            <w:r w:rsidRPr="00722BEB">
              <w:t>Phase 4 – Review &amp; Report</w:t>
            </w:r>
          </w:p>
        </w:tc>
        <w:tc>
          <w:tcPr>
            <w:tcW w:w="0" w:type="auto"/>
            <w:vAlign w:val="center"/>
            <w:hideMark/>
          </w:tcPr>
          <w:p w14:paraId="32B4E3DE" w14:textId="77777777" w:rsidR="00722BEB" w:rsidRPr="00722BEB" w:rsidRDefault="00722BEB" w:rsidP="00722BEB">
            <w:r w:rsidRPr="00722BEB">
              <w:t>Submit audit findings, update compliance status, recommend improvements.</w:t>
            </w:r>
          </w:p>
        </w:tc>
        <w:tc>
          <w:tcPr>
            <w:tcW w:w="0" w:type="auto"/>
            <w:vAlign w:val="center"/>
            <w:hideMark/>
          </w:tcPr>
          <w:p w14:paraId="609698EF" w14:textId="77777777" w:rsidR="00722BEB" w:rsidRPr="00722BEB" w:rsidRDefault="00722BEB" w:rsidP="00722BEB">
            <w:r w:rsidRPr="00722BEB">
              <w:t>Oversight Committee</w:t>
            </w:r>
          </w:p>
        </w:tc>
        <w:tc>
          <w:tcPr>
            <w:tcW w:w="0" w:type="auto"/>
            <w:vAlign w:val="center"/>
            <w:hideMark/>
          </w:tcPr>
          <w:p w14:paraId="0C75E823" w14:textId="084B84EB" w:rsidR="00722BEB" w:rsidRPr="00722BEB" w:rsidRDefault="00722BEB" w:rsidP="00722BEB">
            <w:r w:rsidRPr="00722BEB">
              <w:t xml:space="preserve">End </w:t>
            </w:r>
          </w:p>
        </w:tc>
      </w:tr>
      <w:tr w:rsidR="00F36F39" w:rsidRPr="00722BEB" w14:paraId="7EBD161E" w14:textId="77777777" w:rsidTr="0072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5385F" w14:textId="77777777" w:rsidR="00722BEB" w:rsidRPr="00722BEB" w:rsidRDefault="00722BEB" w:rsidP="00722BEB">
            <w:r w:rsidRPr="00722BEB">
              <w:rPr>
                <w:b/>
                <w:bCs/>
              </w:rPr>
              <w:t>3. Action Plan</w:t>
            </w:r>
          </w:p>
        </w:tc>
        <w:tc>
          <w:tcPr>
            <w:tcW w:w="0" w:type="auto"/>
            <w:vAlign w:val="center"/>
            <w:hideMark/>
          </w:tcPr>
          <w:p w14:paraId="687057B8" w14:textId="77777777" w:rsidR="00722BEB" w:rsidRPr="00722BEB" w:rsidRDefault="00722BEB" w:rsidP="00722BEB"/>
        </w:tc>
        <w:tc>
          <w:tcPr>
            <w:tcW w:w="0" w:type="auto"/>
            <w:vAlign w:val="center"/>
            <w:hideMark/>
          </w:tcPr>
          <w:p w14:paraId="38E22B6D" w14:textId="77777777" w:rsidR="00722BEB" w:rsidRPr="00722BEB" w:rsidRDefault="00722BEB" w:rsidP="00722BEB"/>
        </w:tc>
        <w:tc>
          <w:tcPr>
            <w:tcW w:w="0" w:type="auto"/>
            <w:vAlign w:val="center"/>
            <w:hideMark/>
          </w:tcPr>
          <w:p w14:paraId="57A8B88E" w14:textId="77777777" w:rsidR="00722BEB" w:rsidRPr="00722BEB" w:rsidRDefault="00722BEB" w:rsidP="00722BEB"/>
        </w:tc>
      </w:tr>
      <w:tr w:rsidR="00F36F39" w:rsidRPr="00722BEB" w14:paraId="02DB544A" w14:textId="77777777" w:rsidTr="0072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68ABD" w14:textId="77777777" w:rsidR="00722BEB" w:rsidRPr="00722BEB" w:rsidRDefault="00722BEB" w:rsidP="00722BEB">
            <w:r w:rsidRPr="00722BEB">
              <w:t>Vulnerability Scan</w:t>
            </w:r>
          </w:p>
        </w:tc>
        <w:tc>
          <w:tcPr>
            <w:tcW w:w="0" w:type="auto"/>
            <w:vAlign w:val="center"/>
            <w:hideMark/>
          </w:tcPr>
          <w:p w14:paraId="110548A8" w14:textId="628D4246" w:rsidR="00722BEB" w:rsidRPr="00722BEB" w:rsidRDefault="00722BEB" w:rsidP="00722BEB">
            <w:r w:rsidRPr="00722BEB">
              <w:t xml:space="preserve">Run </w:t>
            </w:r>
            <w:r w:rsidR="00914B04">
              <w:t>Nmap/</w:t>
            </w:r>
            <w:r w:rsidRPr="00722BEB">
              <w:t xml:space="preserve">Nessus/OpenVAS scan on </w:t>
            </w:r>
            <w:proofErr w:type="spellStart"/>
            <w:r w:rsidRPr="00722BEB">
              <w:t>Metasploitable</w:t>
            </w:r>
            <w:proofErr w:type="spellEnd"/>
            <w:r w:rsidRPr="00722BEB">
              <w:t xml:space="preserve"> 2.</w:t>
            </w:r>
          </w:p>
        </w:tc>
        <w:tc>
          <w:tcPr>
            <w:tcW w:w="0" w:type="auto"/>
            <w:vAlign w:val="center"/>
            <w:hideMark/>
          </w:tcPr>
          <w:p w14:paraId="12C12043" w14:textId="77777777" w:rsidR="00722BEB" w:rsidRPr="00722BEB" w:rsidRDefault="00722BEB" w:rsidP="00722BEB">
            <w:r w:rsidRPr="00722BEB">
              <w:t>IT Security Team</w:t>
            </w:r>
          </w:p>
        </w:tc>
        <w:tc>
          <w:tcPr>
            <w:tcW w:w="0" w:type="auto"/>
            <w:vAlign w:val="center"/>
            <w:hideMark/>
          </w:tcPr>
          <w:p w14:paraId="15FF6BE8" w14:textId="77777777" w:rsidR="00722BEB" w:rsidRPr="00722BEB" w:rsidRDefault="00722BEB" w:rsidP="00722BEB">
            <w:r w:rsidRPr="00722BEB">
              <w:t>Weekly</w:t>
            </w:r>
          </w:p>
        </w:tc>
      </w:tr>
      <w:tr w:rsidR="00F36F39" w:rsidRPr="00722BEB" w14:paraId="39401B34" w14:textId="77777777" w:rsidTr="0072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D466B" w14:textId="77777777" w:rsidR="00722BEB" w:rsidRPr="00722BEB" w:rsidRDefault="00722BEB" w:rsidP="00722BEB">
            <w:r w:rsidRPr="00722BEB">
              <w:t>Patch Deployment</w:t>
            </w:r>
          </w:p>
        </w:tc>
        <w:tc>
          <w:tcPr>
            <w:tcW w:w="0" w:type="auto"/>
            <w:vAlign w:val="center"/>
            <w:hideMark/>
          </w:tcPr>
          <w:p w14:paraId="50C33ECE" w14:textId="78987C60" w:rsidR="00722BEB" w:rsidRPr="00722BEB" w:rsidRDefault="00722BEB" w:rsidP="00722BEB">
            <w:r w:rsidRPr="00722BEB">
              <w:t>Fix Apache, MySQL, OpenSSH vulnerabilities. Test patches before rollout</w:t>
            </w:r>
            <w:r w:rsidR="00F36F39">
              <w:t xml:space="preserve"> </w:t>
            </w:r>
            <w:proofErr w:type="spellStart"/>
            <w:r w:rsidR="00F36F39">
              <w:t>ie</w:t>
            </w:r>
            <w:proofErr w:type="spellEnd"/>
            <w:r w:rsidR="00F36F39">
              <w:t xml:space="preserve"> secondary validation for verification by another team, most likely the IT Security Team</w:t>
            </w:r>
            <w:r w:rsidRPr="00722BEB">
              <w:t>.</w:t>
            </w:r>
          </w:p>
        </w:tc>
        <w:tc>
          <w:tcPr>
            <w:tcW w:w="0" w:type="auto"/>
            <w:vAlign w:val="center"/>
            <w:hideMark/>
          </w:tcPr>
          <w:p w14:paraId="6D4D3DB3" w14:textId="77777777" w:rsidR="00722BEB" w:rsidRPr="00722BEB" w:rsidRDefault="00722BEB" w:rsidP="00722BEB">
            <w:r w:rsidRPr="00722BEB">
              <w:t>System Admins</w:t>
            </w:r>
          </w:p>
        </w:tc>
        <w:tc>
          <w:tcPr>
            <w:tcW w:w="0" w:type="auto"/>
            <w:vAlign w:val="center"/>
            <w:hideMark/>
          </w:tcPr>
          <w:p w14:paraId="4744E633" w14:textId="77777777" w:rsidR="00722BEB" w:rsidRPr="00722BEB" w:rsidRDefault="00722BEB" w:rsidP="00722BEB">
            <w:r w:rsidRPr="00722BEB">
              <w:t>Weekly</w:t>
            </w:r>
          </w:p>
        </w:tc>
      </w:tr>
      <w:tr w:rsidR="00F36F39" w:rsidRPr="00722BEB" w14:paraId="1A017944" w14:textId="77777777" w:rsidTr="0072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06A36" w14:textId="77777777" w:rsidR="00722BEB" w:rsidRPr="00722BEB" w:rsidRDefault="00722BEB" w:rsidP="00722BEB">
            <w:r w:rsidRPr="00722BEB">
              <w:t>Access Control</w:t>
            </w:r>
          </w:p>
        </w:tc>
        <w:tc>
          <w:tcPr>
            <w:tcW w:w="0" w:type="auto"/>
            <w:vAlign w:val="center"/>
            <w:hideMark/>
          </w:tcPr>
          <w:p w14:paraId="6CD78F07" w14:textId="77777777" w:rsidR="00722BEB" w:rsidRPr="00722BEB" w:rsidRDefault="00722BEB" w:rsidP="00722BEB">
            <w:r w:rsidRPr="00722BEB">
              <w:t>Implement least privilege. Disable anonymous accounts.</w:t>
            </w:r>
          </w:p>
        </w:tc>
        <w:tc>
          <w:tcPr>
            <w:tcW w:w="0" w:type="auto"/>
            <w:vAlign w:val="center"/>
            <w:hideMark/>
          </w:tcPr>
          <w:p w14:paraId="2496F1A9" w14:textId="77777777" w:rsidR="00722BEB" w:rsidRPr="00722BEB" w:rsidRDefault="00722BEB" w:rsidP="00722BEB">
            <w:r w:rsidRPr="00722BEB">
              <w:t>IT Security Team</w:t>
            </w:r>
          </w:p>
        </w:tc>
        <w:tc>
          <w:tcPr>
            <w:tcW w:w="0" w:type="auto"/>
            <w:vAlign w:val="center"/>
            <w:hideMark/>
          </w:tcPr>
          <w:p w14:paraId="4DC1AC72" w14:textId="77777777" w:rsidR="00722BEB" w:rsidRPr="00722BEB" w:rsidRDefault="00722BEB" w:rsidP="00722BEB">
            <w:r w:rsidRPr="00722BEB">
              <w:t>Ongoing</w:t>
            </w:r>
          </w:p>
        </w:tc>
      </w:tr>
      <w:tr w:rsidR="00F36F39" w:rsidRPr="00722BEB" w14:paraId="4550DBAF" w14:textId="77777777" w:rsidTr="0072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5F61A" w14:textId="77777777" w:rsidR="00722BEB" w:rsidRPr="00722BEB" w:rsidRDefault="00722BEB" w:rsidP="00722BEB">
            <w:r w:rsidRPr="00722BEB">
              <w:lastRenderedPageBreak/>
              <w:t>Encryption</w:t>
            </w:r>
          </w:p>
        </w:tc>
        <w:tc>
          <w:tcPr>
            <w:tcW w:w="0" w:type="auto"/>
            <w:vAlign w:val="center"/>
            <w:hideMark/>
          </w:tcPr>
          <w:p w14:paraId="250F1977" w14:textId="77777777" w:rsidR="00722BEB" w:rsidRPr="00722BEB" w:rsidRDefault="00722BEB" w:rsidP="00722BEB">
            <w:r w:rsidRPr="00722BEB">
              <w:t>Enforce SSL/TLS for data-in-transit protection.</w:t>
            </w:r>
          </w:p>
        </w:tc>
        <w:tc>
          <w:tcPr>
            <w:tcW w:w="0" w:type="auto"/>
            <w:vAlign w:val="center"/>
            <w:hideMark/>
          </w:tcPr>
          <w:p w14:paraId="4F50B1C9" w14:textId="77777777" w:rsidR="00722BEB" w:rsidRPr="00722BEB" w:rsidRDefault="00722BEB" w:rsidP="00722BEB">
            <w:r w:rsidRPr="00722BEB">
              <w:t>System Admins</w:t>
            </w:r>
          </w:p>
        </w:tc>
        <w:tc>
          <w:tcPr>
            <w:tcW w:w="0" w:type="auto"/>
            <w:vAlign w:val="center"/>
            <w:hideMark/>
          </w:tcPr>
          <w:p w14:paraId="65C157C4" w14:textId="1E7BC63E" w:rsidR="00722BEB" w:rsidRPr="00722BEB" w:rsidRDefault="00722BEB" w:rsidP="00722BEB">
            <w:r w:rsidRPr="00722BEB">
              <w:t>Week</w:t>
            </w:r>
            <w:r w:rsidR="00914B04">
              <w:t>ly</w:t>
            </w:r>
          </w:p>
        </w:tc>
      </w:tr>
      <w:tr w:rsidR="00F36F39" w:rsidRPr="00722BEB" w14:paraId="2820FFB9" w14:textId="77777777" w:rsidTr="0072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8AE7A" w14:textId="77777777" w:rsidR="00722BEB" w:rsidRPr="00722BEB" w:rsidRDefault="00722BEB" w:rsidP="00722BEB">
            <w:r w:rsidRPr="00722BEB">
              <w:t>Log Monitoring</w:t>
            </w:r>
          </w:p>
        </w:tc>
        <w:tc>
          <w:tcPr>
            <w:tcW w:w="0" w:type="auto"/>
            <w:vAlign w:val="center"/>
            <w:hideMark/>
          </w:tcPr>
          <w:p w14:paraId="4A1A595C" w14:textId="77777777" w:rsidR="00722BEB" w:rsidRPr="00722BEB" w:rsidRDefault="00722BEB" w:rsidP="00722BEB">
            <w:r w:rsidRPr="00722BEB">
              <w:t>Enable Syslog/Splunk in lab environment.</w:t>
            </w:r>
          </w:p>
        </w:tc>
        <w:tc>
          <w:tcPr>
            <w:tcW w:w="0" w:type="auto"/>
            <w:vAlign w:val="center"/>
            <w:hideMark/>
          </w:tcPr>
          <w:p w14:paraId="6FE2EC7F" w14:textId="77777777" w:rsidR="00722BEB" w:rsidRPr="00722BEB" w:rsidRDefault="00722BEB" w:rsidP="00722BEB">
            <w:r w:rsidRPr="00722BEB">
              <w:t>IT Security Team</w:t>
            </w:r>
          </w:p>
        </w:tc>
        <w:tc>
          <w:tcPr>
            <w:tcW w:w="0" w:type="auto"/>
            <w:vAlign w:val="center"/>
            <w:hideMark/>
          </w:tcPr>
          <w:p w14:paraId="6F97A850" w14:textId="77777777" w:rsidR="00722BEB" w:rsidRPr="00722BEB" w:rsidRDefault="00722BEB" w:rsidP="00722BEB">
            <w:r w:rsidRPr="00722BEB">
              <w:t>Ongoing</w:t>
            </w:r>
          </w:p>
        </w:tc>
      </w:tr>
      <w:tr w:rsidR="00F36F39" w:rsidRPr="00722BEB" w14:paraId="35154567" w14:textId="77777777" w:rsidTr="0072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F1D06" w14:textId="77777777" w:rsidR="00722BEB" w:rsidRPr="00722BEB" w:rsidRDefault="00722BEB" w:rsidP="00722BEB">
            <w:r w:rsidRPr="00722BEB">
              <w:rPr>
                <w:b/>
                <w:bCs/>
              </w:rPr>
              <w:t>4. Risk Management</w:t>
            </w:r>
          </w:p>
        </w:tc>
        <w:tc>
          <w:tcPr>
            <w:tcW w:w="0" w:type="auto"/>
            <w:vAlign w:val="center"/>
            <w:hideMark/>
          </w:tcPr>
          <w:p w14:paraId="1A09273B" w14:textId="77777777" w:rsidR="00722BEB" w:rsidRPr="00722BEB" w:rsidRDefault="00722BEB" w:rsidP="00722BEB"/>
        </w:tc>
        <w:tc>
          <w:tcPr>
            <w:tcW w:w="0" w:type="auto"/>
            <w:vAlign w:val="center"/>
            <w:hideMark/>
          </w:tcPr>
          <w:p w14:paraId="6C32B0D0" w14:textId="77777777" w:rsidR="00722BEB" w:rsidRPr="00722BEB" w:rsidRDefault="00722BEB" w:rsidP="00722BEB"/>
        </w:tc>
        <w:tc>
          <w:tcPr>
            <w:tcW w:w="0" w:type="auto"/>
            <w:vAlign w:val="center"/>
            <w:hideMark/>
          </w:tcPr>
          <w:p w14:paraId="6FB6061C" w14:textId="77777777" w:rsidR="00722BEB" w:rsidRPr="00722BEB" w:rsidRDefault="00722BEB" w:rsidP="00722BEB"/>
        </w:tc>
      </w:tr>
      <w:tr w:rsidR="00F36F39" w:rsidRPr="00722BEB" w14:paraId="4CFF7D51" w14:textId="77777777" w:rsidTr="0072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4432F" w14:textId="77777777" w:rsidR="00722BEB" w:rsidRPr="00722BEB" w:rsidRDefault="00722BEB" w:rsidP="00722BEB">
            <w:r w:rsidRPr="00722BEB">
              <w:t>Service Downtime</w:t>
            </w:r>
          </w:p>
        </w:tc>
        <w:tc>
          <w:tcPr>
            <w:tcW w:w="0" w:type="auto"/>
            <w:vAlign w:val="center"/>
            <w:hideMark/>
          </w:tcPr>
          <w:p w14:paraId="00620F7C" w14:textId="77777777" w:rsidR="00722BEB" w:rsidRPr="00722BEB" w:rsidRDefault="00722BEB" w:rsidP="00722BEB">
            <w:r w:rsidRPr="00722BEB">
              <w:t>Patch testing in lab before rollout. Maintain rollback plan.</w:t>
            </w:r>
          </w:p>
        </w:tc>
        <w:tc>
          <w:tcPr>
            <w:tcW w:w="0" w:type="auto"/>
            <w:vAlign w:val="center"/>
            <w:hideMark/>
          </w:tcPr>
          <w:p w14:paraId="4CF8BE5F" w14:textId="77777777" w:rsidR="00722BEB" w:rsidRPr="00722BEB" w:rsidRDefault="00722BEB" w:rsidP="00722BEB">
            <w:r w:rsidRPr="00722BEB">
              <w:t>System Admins</w:t>
            </w:r>
          </w:p>
        </w:tc>
        <w:tc>
          <w:tcPr>
            <w:tcW w:w="0" w:type="auto"/>
            <w:vAlign w:val="center"/>
            <w:hideMark/>
          </w:tcPr>
          <w:p w14:paraId="7DAC106F" w14:textId="77777777" w:rsidR="00722BEB" w:rsidRPr="00722BEB" w:rsidRDefault="00722BEB" w:rsidP="00722BEB">
            <w:r w:rsidRPr="00722BEB">
              <w:t>Pre-deployment</w:t>
            </w:r>
          </w:p>
        </w:tc>
      </w:tr>
      <w:tr w:rsidR="00F36F39" w:rsidRPr="00722BEB" w14:paraId="1E9A25EA" w14:textId="77777777" w:rsidTr="0072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7642C" w14:textId="77777777" w:rsidR="00722BEB" w:rsidRPr="00722BEB" w:rsidRDefault="00722BEB" w:rsidP="00722BEB">
            <w:r w:rsidRPr="00722BEB">
              <w:t>Insider Threats</w:t>
            </w:r>
          </w:p>
        </w:tc>
        <w:tc>
          <w:tcPr>
            <w:tcW w:w="0" w:type="auto"/>
            <w:vAlign w:val="center"/>
            <w:hideMark/>
          </w:tcPr>
          <w:p w14:paraId="7F4A93FE" w14:textId="77777777" w:rsidR="00722BEB" w:rsidRPr="00722BEB" w:rsidRDefault="00722BEB" w:rsidP="00722BEB">
            <w:r w:rsidRPr="00722BEB">
              <w:t>Enforce least privilege &amp; multi-factor authentication.</w:t>
            </w:r>
          </w:p>
        </w:tc>
        <w:tc>
          <w:tcPr>
            <w:tcW w:w="0" w:type="auto"/>
            <w:vAlign w:val="center"/>
            <w:hideMark/>
          </w:tcPr>
          <w:p w14:paraId="6B1C7753" w14:textId="77777777" w:rsidR="00722BEB" w:rsidRPr="00722BEB" w:rsidRDefault="00722BEB" w:rsidP="00722BEB">
            <w:r w:rsidRPr="00722BEB">
              <w:t>Compliance Officer</w:t>
            </w:r>
          </w:p>
        </w:tc>
        <w:tc>
          <w:tcPr>
            <w:tcW w:w="0" w:type="auto"/>
            <w:vAlign w:val="center"/>
            <w:hideMark/>
          </w:tcPr>
          <w:p w14:paraId="3E1AA0DD" w14:textId="77777777" w:rsidR="00722BEB" w:rsidRPr="00722BEB" w:rsidRDefault="00722BEB" w:rsidP="00722BEB">
            <w:r w:rsidRPr="00722BEB">
              <w:t>Ongoing</w:t>
            </w:r>
          </w:p>
        </w:tc>
      </w:tr>
      <w:tr w:rsidR="00F36F39" w:rsidRPr="00722BEB" w14:paraId="6AFBF86A" w14:textId="77777777" w:rsidTr="0072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D3D81" w14:textId="77777777" w:rsidR="00722BEB" w:rsidRPr="00722BEB" w:rsidRDefault="00722BEB" w:rsidP="00722BEB">
            <w:r w:rsidRPr="00722BEB">
              <w:t>Policy Gaps</w:t>
            </w:r>
          </w:p>
        </w:tc>
        <w:tc>
          <w:tcPr>
            <w:tcW w:w="0" w:type="auto"/>
            <w:vAlign w:val="center"/>
            <w:hideMark/>
          </w:tcPr>
          <w:p w14:paraId="031D39E3" w14:textId="77777777" w:rsidR="00722BEB" w:rsidRPr="00722BEB" w:rsidRDefault="00722BEB" w:rsidP="00722BEB">
            <w:r w:rsidRPr="00722BEB">
              <w:t>Conduct weekly compliance review vs. NDPR &amp; GDPR requirements.</w:t>
            </w:r>
          </w:p>
        </w:tc>
        <w:tc>
          <w:tcPr>
            <w:tcW w:w="0" w:type="auto"/>
            <w:vAlign w:val="center"/>
            <w:hideMark/>
          </w:tcPr>
          <w:p w14:paraId="1342598A" w14:textId="77777777" w:rsidR="00722BEB" w:rsidRPr="00722BEB" w:rsidRDefault="00722BEB" w:rsidP="00722BEB">
            <w:r w:rsidRPr="00722BEB">
              <w:t>Oversight Committee</w:t>
            </w:r>
          </w:p>
        </w:tc>
        <w:tc>
          <w:tcPr>
            <w:tcW w:w="0" w:type="auto"/>
            <w:vAlign w:val="center"/>
            <w:hideMark/>
          </w:tcPr>
          <w:p w14:paraId="7371ACB8" w14:textId="61476EF8" w:rsidR="00722BEB" w:rsidRPr="00722BEB" w:rsidRDefault="00914B04" w:rsidP="00722BEB">
            <w:r>
              <w:t>Monthly</w:t>
            </w:r>
          </w:p>
        </w:tc>
      </w:tr>
      <w:tr w:rsidR="00F36F39" w:rsidRPr="00722BEB" w14:paraId="6B34ECF0" w14:textId="77777777" w:rsidTr="0072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5F829" w14:textId="77777777" w:rsidR="00722BEB" w:rsidRPr="00722BEB" w:rsidRDefault="00722BEB" w:rsidP="00722BEB">
            <w:r w:rsidRPr="00722BEB">
              <w:rPr>
                <w:b/>
                <w:bCs/>
              </w:rPr>
              <w:t>5. Monitoring &amp; Auditing</w:t>
            </w:r>
          </w:p>
        </w:tc>
        <w:tc>
          <w:tcPr>
            <w:tcW w:w="0" w:type="auto"/>
            <w:vAlign w:val="center"/>
            <w:hideMark/>
          </w:tcPr>
          <w:p w14:paraId="4BBE2E43" w14:textId="77777777" w:rsidR="00722BEB" w:rsidRPr="00722BEB" w:rsidRDefault="00722BEB" w:rsidP="00722BEB"/>
        </w:tc>
        <w:tc>
          <w:tcPr>
            <w:tcW w:w="0" w:type="auto"/>
            <w:vAlign w:val="center"/>
            <w:hideMark/>
          </w:tcPr>
          <w:p w14:paraId="5A01935C" w14:textId="77777777" w:rsidR="00722BEB" w:rsidRPr="00722BEB" w:rsidRDefault="00722BEB" w:rsidP="00722BEB"/>
        </w:tc>
        <w:tc>
          <w:tcPr>
            <w:tcW w:w="0" w:type="auto"/>
            <w:vAlign w:val="center"/>
            <w:hideMark/>
          </w:tcPr>
          <w:p w14:paraId="097F1428" w14:textId="77777777" w:rsidR="00722BEB" w:rsidRPr="00722BEB" w:rsidRDefault="00722BEB" w:rsidP="00722BEB"/>
        </w:tc>
      </w:tr>
      <w:tr w:rsidR="00F36F39" w:rsidRPr="00722BEB" w14:paraId="045FDD62" w14:textId="77777777" w:rsidTr="0072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2AC0B" w14:textId="77777777" w:rsidR="00722BEB" w:rsidRPr="00722BEB" w:rsidRDefault="00722BEB" w:rsidP="00722BEB">
            <w:r w:rsidRPr="00722BEB">
              <w:t>Vulnerability Scans</w:t>
            </w:r>
          </w:p>
        </w:tc>
        <w:tc>
          <w:tcPr>
            <w:tcW w:w="0" w:type="auto"/>
            <w:vAlign w:val="center"/>
            <w:hideMark/>
          </w:tcPr>
          <w:p w14:paraId="123F21C0" w14:textId="283975F0" w:rsidR="00722BEB" w:rsidRPr="00722BEB" w:rsidRDefault="00722BEB" w:rsidP="00722BEB">
            <w:r w:rsidRPr="00722BEB">
              <w:t xml:space="preserve">Weekly scans with </w:t>
            </w:r>
            <w:proofErr w:type="spellStart"/>
            <w:proofErr w:type="gramStart"/>
            <w:r w:rsidR="00A84AF8">
              <w:t>nmap,</w:t>
            </w:r>
            <w:r w:rsidRPr="00722BEB">
              <w:t>Nessus</w:t>
            </w:r>
            <w:proofErr w:type="spellEnd"/>
            <w:proofErr w:type="gramEnd"/>
            <w:r w:rsidRPr="00722BEB">
              <w:t>/OpenVAS.</w:t>
            </w:r>
          </w:p>
        </w:tc>
        <w:tc>
          <w:tcPr>
            <w:tcW w:w="0" w:type="auto"/>
            <w:vAlign w:val="center"/>
            <w:hideMark/>
          </w:tcPr>
          <w:p w14:paraId="1AFE90FA" w14:textId="77777777" w:rsidR="00722BEB" w:rsidRPr="00722BEB" w:rsidRDefault="00722BEB" w:rsidP="00722BEB">
            <w:r w:rsidRPr="00722BEB">
              <w:t>IT Security Team</w:t>
            </w:r>
          </w:p>
        </w:tc>
        <w:tc>
          <w:tcPr>
            <w:tcW w:w="0" w:type="auto"/>
            <w:vAlign w:val="center"/>
            <w:hideMark/>
          </w:tcPr>
          <w:p w14:paraId="330C9293" w14:textId="77777777" w:rsidR="00722BEB" w:rsidRPr="00722BEB" w:rsidRDefault="00722BEB" w:rsidP="00722BEB">
            <w:r w:rsidRPr="00722BEB">
              <w:t>Weekly</w:t>
            </w:r>
          </w:p>
        </w:tc>
      </w:tr>
      <w:tr w:rsidR="00F36F39" w:rsidRPr="00722BEB" w14:paraId="2B27EBB7" w14:textId="77777777" w:rsidTr="0072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CB31E" w14:textId="77777777" w:rsidR="00722BEB" w:rsidRPr="00722BEB" w:rsidRDefault="00722BEB" w:rsidP="00722BEB">
            <w:r w:rsidRPr="00722BEB">
              <w:t>Compliance Audits</w:t>
            </w:r>
          </w:p>
        </w:tc>
        <w:tc>
          <w:tcPr>
            <w:tcW w:w="0" w:type="auto"/>
            <w:vAlign w:val="center"/>
            <w:hideMark/>
          </w:tcPr>
          <w:p w14:paraId="1E3080C9" w14:textId="77777777" w:rsidR="00722BEB" w:rsidRPr="00722BEB" w:rsidRDefault="00722BEB" w:rsidP="00722BEB">
            <w:r w:rsidRPr="00722BEB">
              <w:t>Map results against GDPR (Art. 32), NDPR &amp; ISO 27001 Annex A.</w:t>
            </w:r>
          </w:p>
        </w:tc>
        <w:tc>
          <w:tcPr>
            <w:tcW w:w="0" w:type="auto"/>
            <w:vAlign w:val="center"/>
            <w:hideMark/>
          </w:tcPr>
          <w:p w14:paraId="45C94E4D" w14:textId="77777777" w:rsidR="00722BEB" w:rsidRPr="00722BEB" w:rsidRDefault="00722BEB" w:rsidP="00722BEB">
            <w:r w:rsidRPr="00722BEB">
              <w:t>Compliance Officer</w:t>
            </w:r>
          </w:p>
        </w:tc>
        <w:tc>
          <w:tcPr>
            <w:tcW w:w="0" w:type="auto"/>
            <w:vAlign w:val="center"/>
            <w:hideMark/>
          </w:tcPr>
          <w:p w14:paraId="56CDAB0D" w14:textId="77777777" w:rsidR="00722BEB" w:rsidRPr="00722BEB" w:rsidRDefault="00722BEB" w:rsidP="00722BEB">
            <w:r w:rsidRPr="00722BEB">
              <w:t>Monthly</w:t>
            </w:r>
          </w:p>
        </w:tc>
      </w:tr>
      <w:tr w:rsidR="00F36F39" w:rsidRPr="00722BEB" w14:paraId="5EFB4F21" w14:textId="77777777" w:rsidTr="0072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A84BA" w14:textId="77777777" w:rsidR="00722BEB" w:rsidRPr="00722BEB" w:rsidRDefault="00722BEB" w:rsidP="00722BEB">
            <w:r w:rsidRPr="00722BEB">
              <w:t>Log Reviews</w:t>
            </w:r>
          </w:p>
        </w:tc>
        <w:tc>
          <w:tcPr>
            <w:tcW w:w="0" w:type="auto"/>
            <w:vAlign w:val="center"/>
            <w:hideMark/>
          </w:tcPr>
          <w:p w14:paraId="1E12A4B8" w14:textId="77777777" w:rsidR="00722BEB" w:rsidRPr="00722BEB" w:rsidRDefault="00722BEB" w:rsidP="00722BEB">
            <w:r w:rsidRPr="00722BEB">
              <w:t>Detect anomalies in system logs.</w:t>
            </w:r>
          </w:p>
        </w:tc>
        <w:tc>
          <w:tcPr>
            <w:tcW w:w="0" w:type="auto"/>
            <w:vAlign w:val="center"/>
            <w:hideMark/>
          </w:tcPr>
          <w:p w14:paraId="4C45F5D1" w14:textId="77777777" w:rsidR="00722BEB" w:rsidRPr="00722BEB" w:rsidRDefault="00722BEB" w:rsidP="00722BEB">
            <w:r w:rsidRPr="00722BEB">
              <w:t>Security Analysts</w:t>
            </w:r>
          </w:p>
        </w:tc>
        <w:tc>
          <w:tcPr>
            <w:tcW w:w="0" w:type="auto"/>
            <w:vAlign w:val="center"/>
            <w:hideMark/>
          </w:tcPr>
          <w:p w14:paraId="32F43E00" w14:textId="77777777" w:rsidR="00722BEB" w:rsidRPr="00722BEB" w:rsidRDefault="00722BEB" w:rsidP="00722BEB">
            <w:r w:rsidRPr="00722BEB">
              <w:t>Weekly</w:t>
            </w:r>
          </w:p>
        </w:tc>
      </w:tr>
      <w:tr w:rsidR="00F36F39" w:rsidRPr="00722BEB" w14:paraId="10834AEA" w14:textId="77777777" w:rsidTr="0072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7899D" w14:textId="77777777" w:rsidR="00722BEB" w:rsidRPr="00722BEB" w:rsidRDefault="00722BEB" w:rsidP="00722BEB">
            <w:r w:rsidRPr="00722BEB">
              <w:t>Penetration Testing</w:t>
            </w:r>
          </w:p>
        </w:tc>
        <w:tc>
          <w:tcPr>
            <w:tcW w:w="0" w:type="auto"/>
            <w:vAlign w:val="center"/>
            <w:hideMark/>
          </w:tcPr>
          <w:p w14:paraId="24074A11" w14:textId="77777777" w:rsidR="00722BEB" w:rsidRPr="00722BEB" w:rsidRDefault="00722BEB" w:rsidP="00722BEB">
            <w:r w:rsidRPr="00722BEB">
              <w:t xml:space="preserve">Controlled tests on </w:t>
            </w:r>
            <w:proofErr w:type="spellStart"/>
            <w:r w:rsidRPr="00722BEB">
              <w:t>Metasploitable</w:t>
            </w:r>
            <w:proofErr w:type="spellEnd"/>
            <w:r w:rsidRPr="00722BEB">
              <w:t xml:space="preserve"> 2.</w:t>
            </w:r>
          </w:p>
        </w:tc>
        <w:tc>
          <w:tcPr>
            <w:tcW w:w="0" w:type="auto"/>
            <w:vAlign w:val="center"/>
            <w:hideMark/>
          </w:tcPr>
          <w:p w14:paraId="46B13595" w14:textId="77777777" w:rsidR="00722BEB" w:rsidRPr="00722BEB" w:rsidRDefault="00722BEB" w:rsidP="00722BEB">
            <w:r w:rsidRPr="00722BEB">
              <w:t>IT Security Team</w:t>
            </w:r>
          </w:p>
        </w:tc>
        <w:tc>
          <w:tcPr>
            <w:tcW w:w="0" w:type="auto"/>
            <w:vAlign w:val="center"/>
            <w:hideMark/>
          </w:tcPr>
          <w:p w14:paraId="176172F1" w14:textId="77777777" w:rsidR="00722BEB" w:rsidRPr="00722BEB" w:rsidRDefault="00722BEB" w:rsidP="00722BEB">
            <w:r w:rsidRPr="00722BEB">
              <w:t>Quarterly</w:t>
            </w:r>
          </w:p>
        </w:tc>
      </w:tr>
      <w:tr w:rsidR="00F36F39" w:rsidRPr="00722BEB" w14:paraId="60A426A6" w14:textId="77777777" w:rsidTr="0072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DB1CD" w14:textId="77777777" w:rsidR="00722BEB" w:rsidRPr="00722BEB" w:rsidRDefault="00722BEB" w:rsidP="00722BEB">
            <w:r w:rsidRPr="00722BEB">
              <w:rPr>
                <w:b/>
                <w:bCs/>
              </w:rPr>
              <w:t>6. Final Steps</w:t>
            </w:r>
          </w:p>
        </w:tc>
        <w:tc>
          <w:tcPr>
            <w:tcW w:w="0" w:type="auto"/>
            <w:vAlign w:val="center"/>
            <w:hideMark/>
          </w:tcPr>
          <w:p w14:paraId="2EFAC131" w14:textId="77777777" w:rsidR="00722BEB" w:rsidRPr="00722BEB" w:rsidRDefault="00722BEB" w:rsidP="00722BEB"/>
        </w:tc>
        <w:tc>
          <w:tcPr>
            <w:tcW w:w="0" w:type="auto"/>
            <w:vAlign w:val="center"/>
            <w:hideMark/>
          </w:tcPr>
          <w:p w14:paraId="64D245B9" w14:textId="77777777" w:rsidR="00722BEB" w:rsidRPr="00722BEB" w:rsidRDefault="00722BEB" w:rsidP="00722BEB"/>
        </w:tc>
        <w:tc>
          <w:tcPr>
            <w:tcW w:w="0" w:type="auto"/>
            <w:vAlign w:val="center"/>
            <w:hideMark/>
          </w:tcPr>
          <w:p w14:paraId="71C9AAA3" w14:textId="77777777" w:rsidR="00722BEB" w:rsidRPr="00722BEB" w:rsidRDefault="00722BEB" w:rsidP="00722BEB"/>
        </w:tc>
      </w:tr>
      <w:tr w:rsidR="00F36F39" w:rsidRPr="00722BEB" w14:paraId="447069B1" w14:textId="77777777" w:rsidTr="0072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B9CD4" w14:textId="77777777" w:rsidR="00722BEB" w:rsidRPr="00722BEB" w:rsidRDefault="00722BEB" w:rsidP="00722BEB">
            <w:r w:rsidRPr="00722BEB">
              <w:t>KPIs Tracking</w:t>
            </w:r>
          </w:p>
        </w:tc>
        <w:tc>
          <w:tcPr>
            <w:tcW w:w="0" w:type="auto"/>
            <w:vAlign w:val="center"/>
            <w:hideMark/>
          </w:tcPr>
          <w:p w14:paraId="7F6C216A" w14:textId="2DF39993" w:rsidR="00722BEB" w:rsidRPr="00722BEB" w:rsidRDefault="00722BEB" w:rsidP="00722BEB">
            <w:r w:rsidRPr="00722BEB">
              <w:t xml:space="preserve">% vulnerabilities patched, % systems </w:t>
            </w:r>
            <w:proofErr w:type="spellStart"/>
            <w:proofErr w:type="gramStart"/>
            <w:r w:rsidRPr="00722BEB">
              <w:t>encrypted,</w:t>
            </w:r>
            <w:r w:rsidR="0059153F">
              <w:t>number</w:t>
            </w:r>
            <w:proofErr w:type="spellEnd"/>
            <w:proofErr w:type="gramEnd"/>
            <w:r w:rsidRPr="00722BEB">
              <w:t xml:space="preserve"> audit findings per cycle.</w:t>
            </w:r>
          </w:p>
        </w:tc>
        <w:tc>
          <w:tcPr>
            <w:tcW w:w="0" w:type="auto"/>
            <w:vAlign w:val="center"/>
            <w:hideMark/>
          </w:tcPr>
          <w:p w14:paraId="724AECBF" w14:textId="77777777" w:rsidR="00722BEB" w:rsidRPr="00722BEB" w:rsidRDefault="00722BEB" w:rsidP="00722BEB">
            <w:r w:rsidRPr="00722BEB">
              <w:t>Compliance Officer</w:t>
            </w:r>
          </w:p>
        </w:tc>
        <w:tc>
          <w:tcPr>
            <w:tcW w:w="0" w:type="auto"/>
            <w:vAlign w:val="center"/>
            <w:hideMark/>
          </w:tcPr>
          <w:p w14:paraId="3F69445D" w14:textId="77777777" w:rsidR="00722BEB" w:rsidRPr="00722BEB" w:rsidRDefault="00722BEB" w:rsidP="00722BEB">
            <w:r w:rsidRPr="00722BEB">
              <w:t>Monthly Report</w:t>
            </w:r>
          </w:p>
        </w:tc>
      </w:tr>
      <w:tr w:rsidR="00F36F39" w:rsidRPr="00722BEB" w14:paraId="1E403D05" w14:textId="77777777" w:rsidTr="0072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39733" w14:textId="77777777" w:rsidR="00722BEB" w:rsidRPr="00722BEB" w:rsidRDefault="00722BEB" w:rsidP="00722BEB">
            <w:r w:rsidRPr="00722BEB">
              <w:lastRenderedPageBreak/>
              <w:t>Training</w:t>
            </w:r>
          </w:p>
        </w:tc>
        <w:tc>
          <w:tcPr>
            <w:tcW w:w="0" w:type="auto"/>
            <w:vAlign w:val="center"/>
            <w:hideMark/>
          </w:tcPr>
          <w:p w14:paraId="641C4895" w14:textId="77777777" w:rsidR="00722BEB" w:rsidRPr="00722BEB" w:rsidRDefault="00722BEB" w:rsidP="00722BEB">
            <w:r w:rsidRPr="00722BEB">
              <w:t>Annual compliance training for all staff handling patient health data.</w:t>
            </w:r>
          </w:p>
        </w:tc>
        <w:tc>
          <w:tcPr>
            <w:tcW w:w="0" w:type="auto"/>
            <w:vAlign w:val="center"/>
            <w:hideMark/>
          </w:tcPr>
          <w:p w14:paraId="2C1959CA" w14:textId="77777777" w:rsidR="00722BEB" w:rsidRPr="00722BEB" w:rsidRDefault="00722BEB" w:rsidP="00722BEB">
            <w:r w:rsidRPr="00722BEB">
              <w:t>HR &amp; Compliance</w:t>
            </w:r>
          </w:p>
        </w:tc>
        <w:tc>
          <w:tcPr>
            <w:tcW w:w="0" w:type="auto"/>
            <w:vAlign w:val="center"/>
            <w:hideMark/>
          </w:tcPr>
          <w:p w14:paraId="6396762B" w14:textId="182DEF09" w:rsidR="00722BEB" w:rsidRPr="00722BEB" w:rsidRDefault="00F36F39" w:rsidP="00722BEB">
            <w:r>
              <w:t>Bi-</w:t>
            </w:r>
            <w:r w:rsidR="00722BEB" w:rsidRPr="00722BEB">
              <w:t>Annual</w:t>
            </w:r>
          </w:p>
        </w:tc>
      </w:tr>
      <w:tr w:rsidR="00F36F39" w:rsidRPr="00722BEB" w14:paraId="71AB35D3" w14:textId="77777777" w:rsidTr="0072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1A3CA" w14:textId="77777777" w:rsidR="00722BEB" w:rsidRPr="00722BEB" w:rsidRDefault="00722BEB" w:rsidP="00722BEB">
            <w:r w:rsidRPr="00722BEB">
              <w:t>Continuous Monitoring</w:t>
            </w:r>
          </w:p>
        </w:tc>
        <w:tc>
          <w:tcPr>
            <w:tcW w:w="0" w:type="auto"/>
            <w:vAlign w:val="center"/>
            <w:hideMark/>
          </w:tcPr>
          <w:p w14:paraId="1FA52DFD" w14:textId="77777777" w:rsidR="00722BEB" w:rsidRPr="00722BEB" w:rsidRDefault="00722BEB" w:rsidP="00722BEB">
            <w:r w:rsidRPr="00722BEB">
              <w:t>Automated alerts for vulnerabilities &amp; misconfigurations.</w:t>
            </w:r>
          </w:p>
        </w:tc>
        <w:tc>
          <w:tcPr>
            <w:tcW w:w="0" w:type="auto"/>
            <w:vAlign w:val="center"/>
            <w:hideMark/>
          </w:tcPr>
          <w:p w14:paraId="1EE1FFD4" w14:textId="77777777" w:rsidR="00722BEB" w:rsidRPr="00722BEB" w:rsidRDefault="00722BEB" w:rsidP="00722BEB">
            <w:r w:rsidRPr="00722BEB">
              <w:t>IT Security Team</w:t>
            </w:r>
          </w:p>
        </w:tc>
        <w:tc>
          <w:tcPr>
            <w:tcW w:w="0" w:type="auto"/>
            <w:vAlign w:val="center"/>
            <w:hideMark/>
          </w:tcPr>
          <w:p w14:paraId="5F203557" w14:textId="77777777" w:rsidR="00722BEB" w:rsidRPr="00722BEB" w:rsidRDefault="00722BEB" w:rsidP="00722BEB">
            <w:r w:rsidRPr="00722BEB">
              <w:t>Continuous</w:t>
            </w:r>
          </w:p>
        </w:tc>
      </w:tr>
      <w:tr w:rsidR="00F36F39" w:rsidRPr="00722BEB" w14:paraId="2251AD3F" w14:textId="77777777" w:rsidTr="0072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CDD15" w14:textId="77777777" w:rsidR="00722BEB" w:rsidRPr="00722BEB" w:rsidRDefault="00722BEB" w:rsidP="00722BEB">
            <w:r w:rsidRPr="00722BEB">
              <w:t>Benchmarking</w:t>
            </w:r>
          </w:p>
        </w:tc>
        <w:tc>
          <w:tcPr>
            <w:tcW w:w="0" w:type="auto"/>
            <w:vAlign w:val="center"/>
            <w:hideMark/>
          </w:tcPr>
          <w:p w14:paraId="49FA4B2A" w14:textId="1DF3579E" w:rsidR="00722BEB" w:rsidRPr="00722BEB" w:rsidRDefault="00722BEB" w:rsidP="00722BEB">
            <w:r w:rsidRPr="00722BEB">
              <w:t xml:space="preserve">Compare compliance posture with new </w:t>
            </w:r>
            <w:r w:rsidR="00914B04">
              <w:t xml:space="preserve">NIST, </w:t>
            </w:r>
            <w:r w:rsidRPr="00722BEB">
              <w:t>GDPR &amp; ISO 27001 updates.</w:t>
            </w:r>
          </w:p>
        </w:tc>
        <w:tc>
          <w:tcPr>
            <w:tcW w:w="0" w:type="auto"/>
            <w:vAlign w:val="center"/>
            <w:hideMark/>
          </w:tcPr>
          <w:p w14:paraId="2222709D" w14:textId="5675FDD9" w:rsidR="00722BEB" w:rsidRPr="00722BEB" w:rsidRDefault="00F500DC" w:rsidP="00722BEB">
            <w:r>
              <w:t>Compliance Officer</w:t>
            </w:r>
          </w:p>
        </w:tc>
        <w:tc>
          <w:tcPr>
            <w:tcW w:w="0" w:type="auto"/>
            <w:vAlign w:val="center"/>
            <w:hideMark/>
          </w:tcPr>
          <w:p w14:paraId="1E46EF29" w14:textId="77777777" w:rsidR="00722BEB" w:rsidRPr="00722BEB" w:rsidRDefault="00722BEB" w:rsidP="00722BEB">
            <w:r w:rsidRPr="00722BEB">
              <w:t>Annual Review</w:t>
            </w:r>
          </w:p>
        </w:tc>
      </w:tr>
    </w:tbl>
    <w:p w14:paraId="4896F507" w14:textId="77777777" w:rsidR="009E0141" w:rsidRDefault="009E0141" w:rsidP="0079229F"/>
    <w:sectPr w:rsidR="009E0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6D1C"/>
    <w:multiLevelType w:val="multilevel"/>
    <w:tmpl w:val="34A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C6D70"/>
    <w:multiLevelType w:val="multilevel"/>
    <w:tmpl w:val="67A2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6469A"/>
    <w:multiLevelType w:val="hybridMultilevel"/>
    <w:tmpl w:val="832487C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0D023D56"/>
    <w:multiLevelType w:val="multilevel"/>
    <w:tmpl w:val="8460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174F3D"/>
    <w:multiLevelType w:val="hybridMultilevel"/>
    <w:tmpl w:val="4BE620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1A2E8A"/>
    <w:multiLevelType w:val="multilevel"/>
    <w:tmpl w:val="33CE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97A8F"/>
    <w:multiLevelType w:val="multilevel"/>
    <w:tmpl w:val="23C4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F4996"/>
    <w:multiLevelType w:val="multilevel"/>
    <w:tmpl w:val="0C76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8C3001"/>
    <w:multiLevelType w:val="multilevel"/>
    <w:tmpl w:val="8D56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94D35"/>
    <w:multiLevelType w:val="multilevel"/>
    <w:tmpl w:val="770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F7634C"/>
    <w:multiLevelType w:val="multilevel"/>
    <w:tmpl w:val="5F88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225BBB"/>
    <w:multiLevelType w:val="multilevel"/>
    <w:tmpl w:val="CE12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115305"/>
    <w:multiLevelType w:val="multilevel"/>
    <w:tmpl w:val="4E94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4958CF"/>
    <w:multiLevelType w:val="multilevel"/>
    <w:tmpl w:val="AF0C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5D4442"/>
    <w:multiLevelType w:val="multilevel"/>
    <w:tmpl w:val="BE8E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E27034"/>
    <w:multiLevelType w:val="multilevel"/>
    <w:tmpl w:val="8D14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822F7B"/>
    <w:multiLevelType w:val="multilevel"/>
    <w:tmpl w:val="970C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F84566"/>
    <w:multiLevelType w:val="multilevel"/>
    <w:tmpl w:val="5C24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FF605A"/>
    <w:multiLevelType w:val="multilevel"/>
    <w:tmpl w:val="6F4A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580932">
    <w:abstractNumId w:val="1"/>
  </w:num>
  <w:num w:numId="2" w16cid:durableId="1332374866">
    <w:abstractNumId w:val="0"/>
  </w:num>
  <w:num w:numId="3" w16cid:durableId="1326712888">
    <w:abstractNumId w:val="6"/>
  </w:num>
  <w:num w:numId="4" w16cid:durableId="2038650451">
    <w:abstractNumId w:val="17"/>
  </w:num>
  <w:num w:numId="5" w16cid:durableId="1586375623">
    <w:abstractNumId w:val="15"/>
  </w:num>
  <w:num w:numId="6" w16cid:durableId="1775133787">
    <w:abstractNumId w:val="9"/>
  </w:num>
  <w:num w:numId="7" w16cid:durableId="1493831363">
    <w:abstractNumId w:val="12"/>
  </w:num>
  <w:num w:numId="8" w16cid:durableId="90593140">
    <w:abstractNumId w:val="18"/>
  </w:num>
  <w:num w:numId="9" w16cid:durableId="117113449">
    <w:abstractNumId w:val="8"/>
  </w:num>
  <w:num w:numId="10" w16cid:durableId="1167359245">
    <w:abstractNumId w:val="5"/>
  </w:num>
  <w:num w:numId="11" w16cid:durableId="1139346694">
    <w:abstractNumId w:val="10"/>
  </w:num>
  <w:num w:numId="12" w16cid:durableId="1531072179">
    <w:abstractNumId w:val="11"/>
  </w:num>
  <w:num w:numId="13" w16cid:durableId="1412316540">
    <w:abstractNumId w:val="14"/>
  </w:num>
  <w:num w:numId="14" w16cid:durableId="1144663797">
    <w:abstractNumId w:val="3"/>
  </w:num>
  <w:num w:numId="15" w16cid:durableId="1140658563">
    <w:abstractNumId w:val="4"/>
  </w:num>
  <w:num w:numId="16" w16cid:durableId="924612579">
    <w:abstractNumId w:val="7"/>
  </w:num>
  <w:num w:numId="17" w16cid:durableId="1599605206">
    <w:abstractNumId w:val="2"/>
  </w:num>
  <w:num w:numId="18" w16cid:durableId="1341082122">
    <w:abstractNumId w:val="13"/>
  </w:num>
  <w:num w:numId="19" w16cid:durableId="5408224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9F"/>
    <w:rsid w:val="00003B33"/>
    <w:rsid w:val="00003B87"/>
    <w:rsid w:val="0000632E"/>
    <w:rsid w:val="000E242B"/>
    <w:rsid w:val="00110B0C"/>
    <w:rsid w:val="00127318"/>
    <w:rsid w:val="00146331"/>
    <w:rsid w:val="00231410"/>
    <w:rsid w:val="00261CD2"/>
    <w:rsid w:val="002641A9"/>
    <w:rsid w:val="00266047"/>
    <w:rsid w:val="0027312D"/>
    <w:rsid w:val="00276946"/>
    <w:rsid w:val="002B3D53"/>
    <w:rsid w:val="002B74D5"/>
    <w:rsid w:val="002D7160"/>
    <w:rsid w:val="002F604C"/>
    <w:rsid w:val="0031117C"/>
    <w:rsid w:val="00311854"/>
    <w:rsid w:val="00355EC6"/>
    <w:rsid w:val="00371E45"/>
    <w:rsid w:val="003820D7"/>
    <w:rsid w:val="004B7B50"/>
    <w:rsid w:val="00502BDD"/>
    <w:rsid w:val="005138F5"/>
    <w:rsid w:val="005162F1"/>
    <w:rsid w:val="00547594"/>
    <w:rsid w:val="00577928"/>
    <w:rsid w:val="005869F2"/>
    <w:rsid w:val="0059153F"/>
    <w:rsid w:val="005A00D7"/>
    <w:rsid w:val="005B1206"/>
    <w:rsid w:val="005B7502"/>
    <w:rsid w:val="005F2B9B"/>
    <w:rsid w:val="006D0633"/>
    <w:rsid w:val="006D5CD6"/>
    <w:rsid w:val="00722BEB"/>
    <w:rsid w:val="00722F3F"/>
    <w:rsid w:val="0079229F"/>
    <w:rsid w:val="007C7BDB"/>
    <w:rsid w:val="007E738C"/>
    <w:rsid w:val="007F2906"/>
    <w:rsid w:val="00800553"/>
    <w:rsid w:val="008038C5"/>
    <w:rsid w:val="00820147"/>
    <w:rsid w:val="00861DA7"/>
    <w:rsid w:val="0087422E"/>
    <w:rsid w:val="00876646"/>
    <w:rsid w:val="00893A2D"/>
    <w:rsid w:val="00897A15"/>
    <w:rsid w:val="008B45AE"/>
    <w:rsid w:val="008B727D"/>
    <w:rsid w:val="008F3F7B"/>
    <w:rsid w:val="009008AC"/>
    <w:rsid w:val="00906AE9"/>
    <w:rsid w:val="00914B04"/>
    <w:rsid w:val="0092788F"/>
    <w:rsid w:val="00956E65"/>
    <w:rsid w:val="0097452D"/>
    <w:rsid w:val="00980B40"/>
    <w:rsid w:val="009E0141"/>
    <w:rsid w:val="00A25FD8"/>
    <w:rsid w:val="00A3418F"/>
    <w:rsid w:val="00A543A7"/>
    <w:rsid w:val="00A60A33"/>
    <w:rsid w:val="00A84AF8"/>
    <w:rsid w:val="00A8680F"/>
    <w:rsid w:val="00A947A1"/>
    <w:rsid w:val="00AB2928"/>
    <w:rsid w:val="00B743F9"/>
    <w:rsid w:val="00B75450"/>
    <w:rsid w:val="00B83639"/>
    <w:rsid w:val="00BB237A"/>
    <w:rsid w:val="00C00911"/>
    <w:rsid w:val="00C06546"/>
    <w:rsid w:val="00C25D5D"/>
    <w:rsid w:val="00C601DA"/>
    <w:rsid w:val="00C638B3"/>
    <w:rsid w:val="00C80251"/>
    <w:rsid w:val="00C9358F"/>
    <w:rsid w:val="00CB69CD"/>
    <w:rsid w:val="00CC11F2"/>
    <w:rsid w:val="00D12CB9"/>
    <w:rsid w:val="00E20AE2"/>
    <w:rsid w:val="00F107FF"/>
    <w:rsid w:val="00F35696"/>
    <w:rsid w:val="00F36F39"/>
    <w:rsid w:val="00F500DC"/>
    <w:rsid w:val="00F75D8F"/>
    <w:rsid w:val="00F9109A"/>
    <w:rsid w:val="00FA1D22"/>
    <w:rsid w:val="00FA725B"/>
    <w:rsid w:val="00FC7249"/>
    <w:rsid w:val="00FE5374"/>
    <w:rsid w:val="00FF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EDF8"/>
  <w15:chartTrackingRefBased/>
  <w15:docId w15:val="{8911F033-B31A-4EF1-8971-AFC7C002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2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2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2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2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2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754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4540</TotalTime>
  <Pages>9</Pages>
  <Words>1526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Nkemjika Omazi</dc:creator>
  <cp:keywords/>
  <dc:description/>
  <cp:lastModifiedBy>Nkemjika Omazi</cp:lastModifiedBy>
  <cp:revision>80</cp:revision>
  <dcterms:created xsi:type="dcterms:W3CDTF">2025-08-22T05:39:00Z</dcterms:created>
  <dcterms:modified xsi:type="dcterms:W3CDTF">2025-09-06T11:52:00Z</dcterms:modified>
</cp:coreProperties>
</file>