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57FE1" w14:textId="77777777" w:rsidR="005E64E5" w:rsidRPr="000B56D3" w:rsidRDefault="005E64E5" w:rsidP="005E64E5">
      <w:pPr>
        <w:rPr>
          <w:sz w:val="40"/>
          <w:szCs w:val="40"/>
        </w:rPr>
      </w:pPr>
      <w:r w:rsidRPr="000B56D3">
        <w:rPr>
          <w:b/>
          <w:bCs/>
          <w:sz w:val="40"/>
          <w:szCs w:val="40"/>
        </w:rPr>
        <w:t>Final Cybersecurity Governance &amp; Compliance Report</w:t>
      </w:r>
    </w:p>
    <w:p w14:paraId="6347D10C" w14:textId="77777777" w:rsidR="005E64E5" w:rsidRPr="000B56D3" w:rsidRDefault="005E64E5" w:rsidP="005E64E5">
      <w:r w:rsidRPr="000B56D3">
        <w:rPr>
          <w:b/>
          <w:bCs/>
        </w:rPr>
        <w:t>Title:</w:t>
      </w:r>
      <w:r w:rsidRPr="000B56D3">
        <w:t> Enhancing Cybersecurity Posture and Regulatory Compliance: A Comprehensive Framework for a Nigerian Government Healthcare Agency</w:t>
      </w:r>
    </w:p>
    <w:p w14:paraId="552BB25E" w14:textId="6B24395B" w:rsidR="005E64E5" w:rsidRPr="000B56D3" w:rsidRDefault="005E64E5" w:rsidP="005E64E5">
      <w:r w:rsidRPr="000B56D3">
        <w:rPr>
          <w:b/>
          <w:bCs/>
        </w:rPr>
        <w:t>Date:</w:t>
      </w:r>
      <w:r w:rsidRPr="000B56D3">
        <w:t> </w:t>
      </w:r>
      <w:r w:rsidR="00A5042E" w:rsidRPr="000B56D3">
        <w:t>07/09/25</w:t>
      </w:r>
      <w:r w:rsidRPr="000B56D3">
        <w:br/>
      </w:r>
      <w:r w:rsidRPr="000B56D3">
        <w:rPr>
          <w:b/>
          <w:bCs/>
        </w:rPr>
        <w:t>Target Environment:</w:t>
      </w:r>
      <w:r w:rsidRPr="000B56D3">
        <w:t> Simulated Healthcare Infrastructure (</w:t>
      </w:r>
      <w:proofErr w:type="spellStart"/>
      <w:r w:rsidRPr="000B56D3">
        <w:t>Metasploitable</w:t>
      </w:r>
      <w:proofErr w:type="spellEnd"/>
      <w:r w:rsidRPr="000B56D3">
        <w:t xml:space="preserve"> 2)</w:t>
      </w:r>
    </w:p>
    <w:p w14:paraId="0866A767" w14:textId="64C97A64" w:rsidR="005E64E5" w:rsidRPr="000B56D3" w:rsidRDefault="005E64E5" w:rsidP="005E64E5">
      <w:r w:rsidRPr="000B56D3">
        <w:rPr>
          <w:b/>
          <w:bCs/>
        </w:rPr>
        <w:t>Prepared for:</w:t>
      </w:r>
      <w:r w:rsidRPr="000B56D3">
        <w:t> The Executive Board &amp; Oversight Committee</w:t>
      </w:r>
      <w:r w:rsidRPr="000B56D3">
        <w:br/>
      </w:r>
      <w:r w:rsidRPr="000B56D3">
        <w:rPr>
          <w:b/>
          <w:bCs/>
        </w:rPr>
        <w:t>Prepared by:</w:t>
      </w:r>
      <w:r w:rsidRPr="000B56D3">
        <w:t> </w:t>
      </w:r>
      <w:r w:rsidR="00A5042E" w:rsidRPr="000B56D3">
        <w:t>Nkemjika Omazi</w:t>
      </w:r>
      <w:r w:rsidRPr="000B56D3">
        <w:t>, Cybersecurity Governance Team</w:t>
      </w:r>
    </w:p>
    <w:p w14:paraId="7C48F1D2" w14:textId="77777777" w:rsidR="008038C5" w:rsidRDefault="008038C5"/>
    <w:p w14:paraId="7AC35A7C" w14:textId="77777777" w:rsidR="005E64E5" w:rsidRPr="005E64E5" w:rsidRDefault="005E64E5" w:rsidP="005E64E5">
      <w:r w:rsidRPr="005E64E5">
        <w:rPr>
          <w:b/>
          <w:bCs/>
        </w:rPr>
        <w:t>Table of Contents</w:t>
      </w:r>
    </w:p>
    <w:p w14:paraId="337340E2" w14:textId="77777777" w:rsidR="005E64E5" w:rsidRPr="005E64E5" w:rsidRDefault="005E64E5" w:rsidP="005E64E5">
      <w:pPr>
        <w:numPr>
          <w:ilvl w:val="0"/>
          <w:numId w:val="1"/>
        </w:numPr>
      </w:pPr>
      <w:r w:rsidRPr="005E64E5">
        <w:rPr>
          <w:b/>
          <w:bCs/>
        </w:rPr>
        <w:t>Executive Summary</w:t>
      </w:r>
    </w:p>
    <w:p w14:paraId="678CDF10" w14:textId="77777777" w:rsidR="005E64E5" w:rsidRPr="005E64E5" w:rsidRDefault="005E64E5" w:rsidP="005E64E5">
      <w:pPr>
        <w:numPr>
          <w:ilvl w:val="0"/>
          <w:numId w:val="1"/>
        </w:numPr>
      </w:pPr>
      <w:r w:rsidRPr="005E64E5">
        <w:rPr>
          <w:b/>
          <w:bCs/>
        </w:rPr>
        <w:t>Introduction &amp; Project Objectives</w:t>
      </w:r>
    </w:p>
    <w:p w14:paraId="22565529" w14:textId="77777777" w:rsidR="005E64E5" w:rsidRPr="005E64E5" w:rsidRDefault="005E64E5" w:rsidP="005E64E5">
      <w:pPr>
        <w:numPr>
          <w:ilvl w:val="0"/>
          <w:numId w:val="1"/>
        </w:numPr>
      </w:pPr>
      <w:r w:rsidRPr="005E64E5">
        <w:rPr>
          <w:b/>
          <w:bCs/>
        </w:rPr>
        <w:t>Risk Assessment Summary</w:t>
      </w:r>
    </w:p>
    <w:p w14:paraId="650DD265" w14:textId="77777777" w:rsidR="005E64E5" w:rsidRPr="005E64E5" w:rsidRDefault="005E64E5" w:rsidP="005E64E5">
      <w:pPr>
        <w:numPr>
          <w:ilvl w:val="0"/>
          <w:numId w:val="1"/>
        </w:numPr>
      </w:pPr>
      <w:r w:rsidRPr="005E64E5">
        <w:rPr>
          <w:b/>
          <w:bCs/>
        </w:rPr>
        <w:t>Governance Framework Policies</w:t>
      </w:r>
    </w:p>
    <w:p w14:paraId="5E4D57FD" w14:textId="77777777" w:rsidR="005E64E5" w:rsidRPr="005E64E5" w:rsidRDefault="005E64E5" w:rsidP="005E64E5">
      <w:pPr>
        <w:numPr>
          <w:ilvl w:val="0"/>
          <w:numId w:val="1"/>
        </w:numPr>
      </w:pPr>
      <w:r w:rsidRPr="005E64E5">
        <w:rPr>
          <w:b/>
          <w:bCs/>
        </w:rPr>
        <w:t>Implementation &amp; Auditing Plan</w:t>
      </w:r>
    </w:p>
    <w:p w14:paraId="583562F2" w14:textId="77777777" w:rsidR="005E64E5" w:rsidRPr="005E64E5" w:rsidRDefault="005E64E5" w:rsidP="005E64E5">
      <w:pPr>
        <w:numPr>
          <w:ilvl w:val="0"/>
          <w:numId w:val="1"/>
        </w:numPr>
      </w:pPr>
      <w:r w:rsidRPr="005E64E5">
        <w:rPr>
          <w:b/>
          <w:bCs/>
        </w:rPr>
        <w:t>Actionable Recommendations &amp; Roadmap</w:t>
      </w:r>
    </w:p>
    <w:p w14:paraId="1321B62F" w14:textId="77777777" w:rsidR="005E64E5" w:rsidRPr="005E64E5" w:rsidRDefault="005E64E5" w:rsidP="005E64E5">
      <w:pPr>
        <w:numPr>
          <w:ilvl w:val="0"/>
          <w:numId w:val="1"/>
        </w:numPr>
      </w:pPr>
      <w:r w:rsidRPr="005E64E5">
        <w:rPr>
          <w:b/>
          <w:bCs/>
        </w:rPr>
        <w:t>Conclusion</w:t>
      </w:r>
    </w:p>
    <w:p w14:paraId="0F56DB81" w14:textId="77777777" w:rsidR="005E64E5" w:rsidRPr="005E64E5" w:rsidRDefault="00000000" w:rsidP="005E64E5">
      <w:r>
        <w:pict w14:anchorId="568D0345">
          <v:rect id="_x0000_i1025" style="width:0;height:.75pt" o:hralign="center" o:hrstd="t" o:hrnoshade="t" o:hr="t" fillcolor="#404040" stroked="f"/>
        </w:pict>
      </w:r>
    </w:p>
    <w:p w14:paraId="122FA0B5" w14:textId="77777777" w:rsidR="005E64E5" w:rsidRPr="005E64E5" w:rsidRDefault="005E64E5" w:rsidP="005E64E5">
      <w:r w:rsidRPr="005E64E5">
        <w:rPr>
          <w:b/>
          <w:bCs/>
        </w:rPr>
        <w:t>1. Executive Summary</w:t>
      </w:r>
    </w:p>
    <w:p w14:paraId="4835061D" w14:textId="5EF39026" w:rsidR="005E64E5" w:rsidRPr="005E64E5" w:rsidRDefault="005E64E5" w:rsidP="005E64E5">
      <w:r w:rsidRPr="005E64E5">
        <w:t xml:space="preserve">This report presents a complete cybersecurity governance and compliance strategy for a simulated Nigerian government healthcare agency. The initial risk assessment, conducted on a vulnerable </w:t>
      </w:r>
      <w:proofErr w:type="spellStart"/>
      <w:r w:rsidRPr="005E64E5">
        <w:t>Metasploitable</w:t>
      </w:r>
      <w:proofErr w:type="spellEnd"/>
      <w:r w:rsidRPr="005E64E5">
        <w:t xml:space="preserve"> 2 server, revealed a critical security posture with multiple high-risk vulnerabilities, including remote code execution flaws in key services (</w:t>
      </w:r>
      <w:proofErr w:type="spellStart"/>
      <w:r w:rsidRPr="005E64E5">
        <w:t>vsFTPd</w:t>
      </w:r>
      <w:proofErr w:type="spellEnd"/>
      <w:r w:rsidRPr="005E64E5">
        <w:t>, Samba, Apache Tomcat) and weak authentication mechanisms.</w:t>
      </w:r>
    </w:p>
    <w:p w14:paraId="35384F84" w14:textId="77777777" w:rsidR="005E64E5" w:rsidRPr="005E64E5" w:rsidRDefault="005E64E5" w:rsidP="005E64E5">
      <w:r w:rsidRPr="005E64E5">
        <w:t>The findings indicate a high risk of data breach, system compromise, and significant non-compliance with major regulatory frameworks including the </w:t>
      </w:r>
      <w:r w:rsidRPr="005E64E5">
        <w:rPr>
          <w:b/>
          <w:bCs/>
        </w:rPr>
        <w:t>Nigeria Data Protection Regulation (NDPR 2019)</w:t>
      </w:r>
      <w:r w:rsidRPr="005E64E5">
        <w:t>, the </w:t>
      </w:r>
      <w:r w:rsidRPr="005E64E5">
        <w:rPr>
          <w:b/>
          <w:bCs/>
        </w:rPr>
        <w:t>General Data Protection Regulation (GDPR)</w:t>
      </w:r>
      <w:r w:rsidRPr="005E64E5">
        <w:t>, </w:t>
      </w:r>
      <w:r w:rsidRPr="005E64E5">
        <w:rPr>
          <w:b/>
          <w:bCs/>
        </w:rPr>
        <w:t>ISO 27001:2022</w:t>
      </w:r>
      <w:r w:rsidRPr="005E64E5">
        <w:t>, and the </w:t>
      </w:r>
      <w:r w:rsidRPr="005E64E5">
        <w:rPr>
          <w:b/>
          <w:bCs/>
        </w:rPr>
        <w:t>NIST Cybersecurity Framework (CSF)</w:t>
      </w:r>
      <w:r w:rsidRPr="005E64E5">
        <w:t>.</w:t>
      </w:r>
    </w:p>
    <w:p w14:paraId="27DA16B1" w14:textId="77777777" w:rsidR="005A2FA9" w:rsidRDefault="005E64E5" w:rsidP="005E64E5">
      <w:r w:rsidRPr="005E64E5">
        <w:lastRenderedPageBreak/>
        <w:t xml:space="preserve">This report consolidates </w:t>
      </w:r>
      <w:r w:rsidR="00ED0239">
        <w:t>my</w:t>
      </w:r>
      <w:r w:rsidRPr="005E64E5">
        <w:t xml:space="preserve"> response into a three-pillar approach: </w:t>
      </w:r>
    </w:p>
    <w:p w14:paraId="6A020B65" w14:textId="77777777" w:rsidR="005A2FA9" w:rsidRDefault="005E64E5" w:rsidP="005E64E5">
      <w:r w:rsidRPr="005E64E5">
        <w:t>(1) Immediate technical remediation of critical vulnerabilities</w:t>
      </w:r>
    </w:p>
    <w:p w14:paraId="4532E0F9" w14:textId="77777777" w:rsidR="005A2FA9" w:rsidRDefault="005E64E5" w:rsidP="005E64E5">
      <w:r w:rsidRPr="005E64E5">
        <w:t xml:space="preserve">(2) Establishment of robust governance policies for risk management, data security and auditing and </w:t>
      </w:r>
    </w:p>
    <w:p w14:paraId="715E289C" w14:textId="77777777" w:rsidR="005A2FA9" w:rsidRDefault="005E64E5" w:rsidP="005E64E5">
      <w:r w:rsidRPr="005E64E5">
        <w:t xml:space="preserve">(3) A detailed implementation and continuous monitoring plan. </w:t>
      </w:r>
    </w:p>
    <w:p w14:paraId="4C4F51A5" w14:textId="4BED8041" w:rsidR="005E64E5" w:rsidRPr="005E64E5" w:rsidRDefault="005E64E5" w:rsidP="005E64E5">
      <w:r w:rsidRPr="005E64E5">
        <w:t>The provided roadmap is designed to systematically elevate the agency's security posture, protect sensitive patient data, and ensure ongoing regulatory compliance.</w:t>
      </w:r>
    </w:p>
    <w:p w14:paraId="19FC06DA" w14:textId="77777777" w:rsidR="005E64E5" w:rsidRPr="005E64E5" w:rsidRDefault="005E64E5" w:rsidP="005E64E5">
      <w:r w:rsidRPr="005E64E5">
        <w:rPr>
          <w:b/>
          <w:bCs/>
        </w:rPr>
        <w:t>2. Introduction &amp; Project Objectives</w:t>
      </w:r>
    </w:p>
    <w:p w14:paraId="749F9FDA" w14:textId="77777777" w:rsidR="005E64E5" w:rsidRPr="005E64E5" w:rsidRDefault="005E64E5" w:rsidP="005E64E5">
      <w:r w:rsidRPr="005E64E5">
        <w:t>The digital transformation of healthcare brings immense benefits but also significant risks, especially concerning sensitive patient data. This project simulates a real-world scenario to identify gaps and build a resilient cybersecurity governance structure.</w:t>
      </w:r>
    </w:p>
    <w:p w14:paraId="2AC4530D" w14:textId="77777777" w:rsidR="005E64E5" w:rsidRPr="005E64E5" w:rsidRDefault="005E64E5" w:rsidP="005E64E5">
      <w:r w:rsidRPr="005E64E5">
        <w:rPr>
          <w:b/>
          <w:bCs/>
        </w:rPr>
        <w:t>Primary Objectives:</w:t>
      </w:r>
    </w:p>
    <w:p w14:paraId="48B2E015" w14:textId="77777777" w:rsidR="005E64E5" w:rsidRPr="005E64E5" w:rsidRDefault="005E64E5" w:rsidP="005E64E5">
      <w:pPr>
        <w:numPr>
          <w:ilvl w:val="0"/>
          <w:numId w:val="2"/>
        </w:numPr>
      </w:pPr>
      <w:r w:rsidRPr="005E64E5">
        <w:rPr>
          <w:b/>
          <w:bCs/>
        </w:rPr>
        <w:t>Identify &amp; Assess:</w:t>
      </w:r>
      <w:r w:rsidRPr="005E64E5">
        <w:t> Discover and evaluate cybersecurity vulnerabilities within the agency's simulated infrastructure.</w:t>
      </w:r>
    </w:p>
    <w:p w14:paraId="114B4E9D" w14:textId="77777777" w:rsidR="005E64E5" w:rsidRPr="005E64E5" w:rsidRDefault="005E64E5" w:rsidP="005E64E5">
      <w:pPr>
        <w:numPr>
          <w:ilvl w:val="0"/>
          <w:numId w:val="2"/>
        </w:numPr>
      </w:pPr>
      <w:r w:rsidRPr="005E64E5">
        <w:rPr>
          <w:b/>
          <w:bCs/>
        </w:rPr>
        <w:t>Govern &amp; Comply:</w:t>
      </w:r>
      <w:r w:rsidRPr="005E64E5">
        <w:t> Develop policies and strategies aligned with NDPR, GDPR, ISO 27001, and NIST CSF to address identified risks.</w:t>
      </w:r>
    </w:p>
    <w:p w14:paraId="11138D5E" w14:textId="77777777" w:rsidR="005E64E5" w:rsidRPr="005E64E5" w:rsidRDefault="005E64E5" w:rsidP="005E64E5">
      <w:pPr>
        <w:numPr>
          <w:ilvl w:val="0"/>
          <w:numId w:val="2"/>
        </w:numPr>
      </w:pPr>
      <w:r w:rsidRPr="005E64E5">
        <w:rPr>
          <w:b/>
          <w:bCs/>
        </w:rPr>
        <w:t>Implement &amp; Monitor:</w:t>
      </w:r>
      <w:r w:rsidRPr="005E64E5">
        <w:t> Create a phased action plan for remediation, ongoing auditing, and continuous improvement to ensure sustained compliance and security.</w:t>
      </w:r>
    </w:p>
    <w:p w14:paraId="362308B2" w14:textId="77777777" w:rsidR="005E64E5" w:rsidRPr="005E64E5" w:rsidRDefault="005E64E5" w:rsidP="005E64E5">
      <w:r w:rsidRPr="005E64E5">
        <w:rPr>
          <w:b/>
          <w:bCs/>
        </w:rPr>
        <w:t>3. Risk Assessment Summary</w:t>
      </w:r>
    </w:p>
    <w:p w14:paraId="79115B51" w14:textId="77777777" w:rsidR="005E64E5" w:rsidRPr="005E64E5" w:rsidRDefault="005E64E5" w:rsidP="005E64E5">
      <w:r w:rsidRPr="005E64E5">
        <w:t>A thorough vulnerability assessment was performed, revealing a severely compromised initial state.</w:t>
      </w:r>
    </w:p>
    <w:p w14:paraId="29E93DA5" w14:textId="77777777" w:rsidR="005E64E5" w:rsidRPr="005E64E5" w:rsidRDefault="005E64E5" w:rsidP="005E64E5">
      <w:r w:rsidRPr="005E64E5">
        <w:rPr>
          <w:b/>
          <w:bCs/>
        </w:rPr>
        <w:t>Key Findings:</w:t>
      </w:r>
    </w:p>
    <w:p w14:paraId="73EEA94C" w14:textId="77777777" w:rsidR="005E64E5" w:rsidRPr="005E64E5" w:rsidRDefault="005E64E5" w:rsidP="005E64E5">
      <w:pPr>
        <w:numPr>
          <w:ilvl w:val="0"/>
          <w:numId w:val="3"/>
        </w:numPr>
      </w:pPr>
      <w:r w:rsidRPr="005E64E5">
        <w:rPr>
          <w:b/>
          <w:bCs/>
        </w:rPr>
        <w:t>Critical Vulnerabilities:</w:t>
      </w:r>
      <w:r w:rsidRPr="005E64E5">
        <w:t> Multiple services were configured with critical flaws allowing unauthorized access and full system control.</w:t>
      </w:r>
    </w:p>
    <w:p w14:paraId="25E1B7F4" w14:textId="77777777" w:rsidR="005E64E5" w:rsidRPr="005E64E5" w:rsidRDefault="005E64E5" w:rsidP="005E64E5">
      <w:pPr>
        <w:numPr>
          <w:ilvl w:val="1"/>
          <w:numId w:val="3"/>
        </w:numPr>
      </w:pPr>
      <w:proofErr w:type="spellStart"/>
      <w:r w:rsidRPr="005E64E5">
        <w:rPr>
          <w:b/>
          <w:bCs/>
        </w:rPr>
        <w:t>vsFTPd</w:t>
      </w:r>
      <w:proofErr w:type="spellEnd"/>
      <w:r w:rsidRPr="005E64E5">
        <w:rPr>
          <w:b/>
          <w:bCs/>
        </w:rPr>
        <w:t xml:space="preserve"> 2.3.4 Backdoor (CVE-2011-2523):</w:t>
      </w:r>
      <w:r w:rsidRPr="005E64E5">
        <w:t> Critical (CVSS 9.8) - Allows remote attackers to execute arbitrary code.</w:t>
      </w:r>
    </w:p>
    <w:p w14:paraId="5F5AE27B" w14:textId="2E28B968" w:rsidR="005E64E5" w:rsidRPr="005E64E5" w:rsidRDefault="005E64E5" w:rsidP="005E64E5">
      <w:pPr>
        <w:numPr>
          <w:ilvl w:val="1"/>
          <w:numId w:val="3"/>
        </w:numPr>
      </w:pPr>
      <w:r w:rsidRPr="005E64E5">
        <w:rPr>
          <w:b/>
          <w:bCs/>
        </w:rPr>
        <w:t>Samba </w:t>
      </w:r>
      <w:proofErr w:type="spellStart"/>
      <w:r w:rsidRPr="005E64E5">
        <w:t>usermap</w:t>
      </w:r>
      <w:proofErr w:type="spellEnd"/>
      <w:r w:rsidR="006A7298">
        <w:t xml:space="preserve"> </w:t>
      </w:r>
      <w:r w:rsidRPr="005E64E5">
        <w:t>script</w:t>
      </w:r>
      <w:r w:rsidRPr="005E64E5">
        <w:rPr>
          <w:b/>
          <w:bCs/>
        </w:rPr>
        <w:t> </w:t>
      </w:r>
      <w:r w:rsidR="006A7298">
        <w:rPr>
          <w:b/>
          <w:bCs/>
        </w:rPr>
        <w:t>Remote Command Execution (</w:t>
      </w:r>
      <w:r w:rsidRPr="005E64E5">
        <w:rPr>
          <w:b/>
          <w:bCs/>
        </w:rPr>
        <w:t>RCE (CVE-2007-2447)</w:t>
      </w:r>
      <w:r w:rsidR="006A7298">
        <w:rPr>
          <w:b/>
          <w:bCs/>
        </w:rPr>
        <w:t>)</w:t>
      </w:r>
      <w:r w:rsidRPr="005E64E5">
        <w:rPr>
          <w:b/>
          <w:bCs/>
        </w:rPr>
        <w:t>:</w:t>
      </w:r>
      <w:r w:rsidRPr="005E64E5">
        <w:t> Critical (CVSS 10.0) - Allows remote command execution.</w:t>
      </w:r>
    </w:p>
    <w:p w14:paraId="3CAF7687" w14:textId="32442313" w:rsidR="005E64E5" w:rsidRPr="005E64E5" w:rsidRDefault="005E64E5" w:rsidP="005E64E5">
      <w:pPr>
        <w:numPr>
          <w:ilvl w:val="1"/>
          <w:numId w:val="3"/>
        </w:numPr>
      </w:pPr>
      <w:r w:rsidRPr="005E64E5">
        <w:rPr>
          <w:b/>
          <w:bCs/>
        </w:rPr>
        <w:lastRenderedPageBreak/>
        <w:t>Apache Tomcat 5.5:</w:t>
      </w:r>
      <w:r w:rsidRPr="005E64E5">
        <w:t xml:space="preserve"> Critical - Multiple legacy exploits leading to information disclosure and </w:t>
      </w:r>
      <w:proofErr w:type="gramStart"/>
      <w:r w:rsidRPr="005E64E5">
        <w:t>RCE</w:t>
      </w:r>
      <w:r w:rsidR="00911643">
        <w:t>(</w:t>
      </w:r>
      <w:proofErr w:type="gramEnd"/>
      <w:r w:rsidR="00911643">
        <w:t>Remote Code Execution)</w:t>
      </w:r>
      <w:r w:rsidRPr="005E64E5">
        <w:t>.</w:t>
      </w:r>
    </w:p>
    <w:p w14:paraId="3262FDD3" w14:textId="77777777" w:rsidR="005E64E5" w:rsidRPr="005E64E5" w:rsidRDefault="005E64E5" w:rsidP="005E64E5">
      <w:pPr>
        <w:numPr>
          <w:ilvl w:val="1"/>
          <w:numId w:val="3"/>
        </w:numPr>
      </w:pPr>
      <w:r w:rsidRPr="005E64E5">
        <w:rPr>
          <w:b/>
          <w:bCs/>
        </w:rPr>
        <w:t>MySQL Auth Bypass (CVE-2012-2122):</w:t>
      </w:r>
      <w:r w:rsidRPr="005E64E5">
        <w:t> High - Could allow attackers to bypass authentication.</w:t>
      </w:r>
    </w:p>
    <w:p w14:paraId="1AB046E5" w14:textId="77777777" w:rsidR="005E64E5" w:rsidRPr="005E64E5" w:rsidRDefault="005E64E5" w:rsidP="005E64E5">
      <w:pPr>
        <w:numPr>
          <w:ilvl w:val="0"/>
          <w:numId w:val="3"/>
        </w:numPr>
      </w:pPr>
      <w:r w:rsidRPr="005E64E5">
        <w:rPr>
          <w:b/>
          <w:bCs/>
        </w:rPr>
        <w:t>Poor Security Practices:</w:t>
      </w:r>
      <w:r w:rsidRPr="005E64E5">
        <w:t> Anonymous FTP logins, unencrypted Telnet services, and weak encryption (SSLv2) were prevalent, violating core principles of confidentiality and integrity.</w:t>
      </w:r>
    </w:p>
    <w:p w14:paraId="779C7E5A" w14:textId="77777777" w:rsidR="005E64E5" w:rsidRPr="005E64E5" w:rsidRDefault="005E64E5" w:rsidP="005E64E5">
      <w:pPr>
        <w:numPr>
          <w:ilvl w:val="0"/>
          <w:numId w:val="3"/>
        </w:numPr>
      </w:pPr>
      <w:r w:rsidRPr="005E64E5">
        <w:rPr>
          <w:b/>
          <w:bCs/>
        </w:rPr>
        <w:t>Compliance Gaps:</w:t>
      </w:r>
      <w:r w:rsidRPr="005E64E5">
        <w:t> The state of the systems directly violates multiple articles and controls of NDPR, GDPR, ISO 27001, and NIST CSF, particularly concerning patch management, access control, and data protection.</w:t>
      </w:r>
    </w:p>
    <w:p w14:paraId="7985E4B6" w14:textId="77777777" w:rsidR="005E64E5" w:rsidRDefault="005E64E5"/>
    <w:p w14:paraId="616CEE25" w14:textId="77777777" w:rsidR="005E64E5" w:rsidRPr="005E64E5" w:rsidRDefault="005E64E5" w:rsidP="005E64E5">
      <w:r w:rsidRPr="005E64E5">
        <w:rPr>
          <w:b/>
          <w:bCs/>
        </w:rPr>
        <w:t>Top Risk Summary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629"/>
        <w:gridCol w:w="1336"/>
        <w:gridCol w:w="1265"/>
        <w:gridCol w:w="2994"/>
      </w:tblGrid>
      <w:tr w:rsidR="005E64E5" w:rsidRPr="005E64E5" w14:paraId="3887D3D0" w14:textId="77777777" w:rsidTr="002A7342">
        <w:trPr>
          <w:tblHeader/>
        </w:trPr>
        <w:tc>
          <w:tcPr>
            <w:tcW w:w="0" w:type="auto"/>
            <w:tcMar>
              <w:top w:w="150" w:type="dxa"/>
              <w:left w:w="0" w:type="dxa"/>
              <w:bottom w:w="150" w:type="dxa"/>
              <w:right w:w="150" w:type="dxa"/>
            </w:tcMar>
            <w:vAlign w:val="center"/>
            <w:hideMark/>
          </w:tcPr>
          <w:p w14:paraId="2AF8D98F" w14:textId="77777777" w:rsidR="005E64E5" w:rsidRPr="005E64E5" w:rsidRDefault="005E64E5" w:rsidP="005E64E5">
            <w:pPr>
              <w:rPr>
                <w:b/>
                <w:bCs/>
              </w:rPr>
            </w:pPr>
            <w:r w:rsidRPr="005E64E5">
              <w:rPr>
                <w:b/>
                <w:bCs/>
              </w:rPr>
              <w:t>Vulnerability</w:t>
            </w:r>
          </w:p>
        </w:tc>
        <w:tc>
          <w:tcPr>
            <w:tcW w:w="0" w:type="auto"/>
            <w:tcMar>
              <w:top w:w="150" w:type="dxa"/>
              <w:left w:w="150" w:type="dxa"/>
              <w:bottom w:w="150" w:type="dxa"/>
              <w:right w:w="150" w:type="dxa"/>
            </w:tcMar>
            <w:vAlign w:val="center"/>
            <w:hideMark/>
          </w:tcPr>
          <w:p w14:paraId="27BF0DCE" w14:textId="77777777" w:rsidR="005E64E5" w:rsidRPr="005E64E5" w:rsidRDefault="005E64E5" w:rsidP="005E64E5">
            <w:pPr>
              <w:rPr>
                <w:b/>
                <w:bCs/>
              </w:rPr>
            </w:pPr>
            <w:r w:rsidRPr="005E64E5">
              <w:rPr>
                <w:b/>
                <w:bCs/>
              </w:rPr>
              <w:t>CVE ID</w:t>
            </w:r>
          </w:p>
        </w:tc>
        <w:tc>
          <w:tcPr>
            <w:tcW w:w="0" w:type="auto"/>
            <w:tcMar>
              <w:top w:w="150" w:type="dxa"/>
              <w:left w:w="150" w:type="dxa"/>
              <w:bottom w:w="150" w:type="dxa"/>
              <w:right w:w="150" w:type="dxa"/>
            </w:tcMar>
            <w:vAlign w:val="center"/>
            <w:hideMark/>
          </w:tcPr>
          <w:p w14:paraId="67815CEB" w14:textId="77777777" w:rsidR="005E64E5" w:rsidRPr="005E64E5" w:rsidRDefault="005E64E5" w:rsidP="005E64E5">
            <w:pPr>
              <w:rPr>
                <w:b/>
                <w:bCs/>
              </w:rPr>
            </w:pPr>
            <w:r w:rsidRPr="005E64E5">
              <w:rPr>
                <w:b/>
                <w:bCs/>
              </w:rPr>
              <w:t>CVSS Score</w:t>
            </w:r>
          </w:p>
        </w:tc>
        <w:tc>
          <w:tcPr>
            <w:tcW w:w="0" w:type="auto"/>
            <w:tcMar>
              <w:top w:w="150" w:type="dxa"/>
              <w:left w:w="150" w:type="dxa"/>
              <w:bottom w:w="150" w:type="dxa"/>
              <w:right w:w="150" w:type="dxa"/>
            </w:tcMar>
            <w:vAlign w:val="center"/>
            <w:hideMark/>
          </w:tcPr>
          <w:p w14:paraId="68D68F57" w14:textId="77777777" w:rsidR="005E64E5" w:rsidRPr="005E64E5" w:rsidRDefault="005E64E5" w:rsidP="005E64E5">
            <w:pPr>
              <w:rPr>
                <w:b/>
                <w:bCs/>
              </w:rPr>
            </w:pPr>
            <w:r w:rsidRPr="005E64E5">
              <w:rPr>
                <w:b/>
                <w:bCs/>
              </w:rPr>
              <w:t>Risk Level</w:t>
            </w:r>
          </w:p>
        </w:tc>
        <w:tc>
          <w:tcPr>
            <w:tcW w:w="0" w:type="auto"/>
            <w:tcMar>
              <w:top w:w="150" w:type="dxa"/>
              <w:left w:w="150" w:type="dxa"/>
              <w:bottom w:w="150" w:type="dxa"/>
              <w:right w:w="150" w:type="dxa"/>
            </w:tcMar>
            <w:vAlign w:val="center"/>
            <w:hideMark/>
          </w:tcPr>
          <w:p w14:paraId="0A45F2FF" w14:textId="77777777" w:rsidR="005E64E5" w:rsidRPr="005E64E5" w:rsidRDefault="005E64E5" w:rsidP="005E64E5">
            <w:pPr>
              <w:rPr>
                <w:b/>
                <w:bCs/>
              </w:rPr>
            </w:pPr>
            <w:r w:rsidRPr="005E64E5">
              <w:rPr>
                <w:b/>
                <w:bCs/>
              </w:rPr>
              <w:t>Compliance Impact</w:t>
            </w:r>
          </w:p>
        </w:tc>
      </w:tr>
      <w:tr w:rsidR="005E64E5" w:rsidRPr="005E64E5" w14:paraId="702C4E75" w14:textId="77777777" w:rsidTr="002A7342">
        <w:tc>
          <w:tcPr>
            <w:tcW w:w="0" w:type="auto"/>
            <w:tcMar>
              <w:top w:w="150" w:type="dxa"/>
              <w:left w:w="0" w:type="dxa"/>
              <w:bottom w:w="150" w:type="dxa"/>
              <w:right w:w="150" w:type="dxa"/>
            </w:tcMar>
            <w:vAlign w:val="center"/>
            <w:hideMark/>
          </w:tcPr>
          <w:p w14:paraId="4DD5AEB9" w14:textId="77777777" w:rsidR="005E64E5" w:rsidRPr="005E64E5" w:rsidRDefault="005E64E5" w:rsidP="005E64E5">
            <w:proofErr w:type="spellStart"/>
            <w:r w:rsidRPr="005E64E5">
              <w:t>vsFTPd</w:t>
            </w:r>
            <w:proofErr w:type="spellEnd"/>
            <w:r w:rsidRPr="005E64E5">
              <w:t xml:space="preserve"> 2.3.4 Backdoor</w:t>
            </w:r>
          </w:p>
        </w:tc>
        <w:tc>
          <w:tcPr>
            <w:tcW w:w="0" w:type="auto"/>
            <w:tcMar>
              <w:top w:w="150" w:type="dxa"/>
              <w:left w:w="150" w:type="dxa"/>
              <w:bottom w:w="150" w:type="dxa"/>
              <w:right w:w="150" w:type="dxa"/>
            </w:tcMar>
            <w:vAlign w:val="center"/>
            <w:hideMark/>
          </w:tcPr>
          <w:p w14:paraId="199CD915" w14:textId="77777777" w:rsidR="005E64E5" w:rsidRPr="005E64E5" w:rsidRDefault="005E64E5" w:rsidP="005E64E5">
            <w:r w:rsidRPr="005E64E5">
              <w:t>CVE-2011-2523</w:t>
            </w:r>
          </w:p>
        </w:tc>
        <w:tc>
          <w:tcPr>
            <w:tcW w:w="0" w:type="auto"/>
            <w:tcMar>
              <w:top w:w="150" w:type="dxa"/>
              <w:left w:w="150" w:type="dxa"/>
              <w:bottom w:w="150" w:type="dxa"/>
              <w:right w:w="150" w:type="dxa"/>
            </w:tcMar>
            <w:vAlign w:val="center"/>
            <w:hideMark/>
          </w:tcPr>
          <w:p w14:paraId="3140C75B" w14:textId="77777777" w:rsidR="005E64E5" w:rsidRPr="005E64E5" w:rsidRDefault="005E64E5" w:rsidP="005E64E5">
            <w:r w:rsidRPr="005E64E5">
              <w:t>9.8 (Crit.)</w:t>
            </w:r>
          </w:p>
        </w:tc>
        <w:tc>
          <w:tcPr>
            <w:tcW w:w="0" w:type="auto"/>
            <w:tcMar>
              <w:top w:w="150" w:type="dxa"/>
              <w:left w:w="150" w:type="dxa"/>
              <w:bottom w:w="150" w:type="dxa"/>
              <w:right w:w="150" w:type="dxa"/>
            </w:tcMar>
            <w:vAlign w:val="center"/>
            <w:hideMark/>
          </w:tcPr>
          <w:p w14:paraId="1D2CC7E6" w14:textId="77777777" w:rsidR="005E64E5" w:rsidRPr="005E64E5" w:rsidRDefault="005E64E5" w:rsidP="005E64E5">
            <w:r w:rsidRPr="005E64E5">
              <w:t>Critical</w:t>
            </w:r>
          </w:p>
        </w:tc>
        <w:tc>
          <w:tcPr>
            <w:tcW w:w="0" w:type="auto"/>
            <w:tcMar>
              <w:top w:w="150" w:type="dxa"/>
              <w:left w:w="150" w:type="dxa"/>
              <w:bottom w:w="150" w:type="dxa"/>
              <w:right w:w="150" w:type="dxa"/>
            </w:tcMar>
            <w:vAlign w:val="center"/>
            <w:hideMark/>
          </w:tcPr>
          <w:p w14:paraId="59FD943A" w14:textId="77777777" w:rsidR="005E64E5" w:rsidRPr="005E64E5" w:rsidRDefault="005E64E5" w:rsidP="005E64E5">
            <w:r w:rsidRPr="005E64E5">
              <w:t>NDPR 2.6, GDPR Art. 32, ISO A.8.8</w:t>
            </w:r>
          </w:p>
        </w:tc>
      </w:tr>
      <w:tr w:rsidR="005E64E5" w:rsidRPr="005E64E5" w14:paraId="5A67462A" w14:textId="77777777" w:rsidTr="002A7342">
        <w:tc>
          <w:tcPr>
            <w:tcW w:w="0" w:type="auto"/>
            <w:tcMar>
              <w:top w:w="150" w:type="dxa"/>
              <w:left w:w="0" w:type="dxa"/>
              <w:bottom w:w="150" w:type="dxa"/>
              <w:right w:w="150" w:type="dxa"/>
            </w:tcMar>
            <w:vAlign w:val="center"/>
            <w:hideMark/>
          </w:tcPr>
          <w:p w14:paraId="6ECAD317" w14:textId="77777777" w:rsidR="005E64E5" w:rsidRPr="005E64E5" w:rsidRDefault="005E64E5" w:rsidP="005E64E5">
            <w:r w:rsidRPr="005E64E5">
              <w:t>Samba RCE</w:t>
            </w:r>
          </w:p>
        </w:tc>
        <w:tc>
          <w:tcPr>
            <w:tcW w:w="0" w:type="auto"/>
            <w:tcMar>
              <w:top w:w="150" w:type="dxa"/>
              <w:left w:w="150" w:type="dxa"/>
              <w:bottom w:w="150" w:type="dxa"/>
              <w:right w:w="150" w:type="dxa"/>
            </w:tcMar>
            <w:vAlign w:val="center"/>
            <w:hideMark/>
          </w:tcPr>
          <w:p w14:paraId="76110B78" w14:textId="77777777" w:rsidR="005E64E5" w:rsidRPr="005E64E5" w:rsidRDefault="005E64E5" w:rsidP="005E64E5">
            <w:r w:rsidRPr="005E64E5">
              <w:t>CVE-2007-2447</w:t>
            </w:r>
          </w:p>
        </w:tc>
        <w:tc>
          <w:tcPr>
            <w:tcW w:w="0" w:type="auto"/>
            <w:tcMar>
              <w:top w:w="150" w:type="dxa"/>
              <w:left w:w="150" w:type="dxa"/>
              <w:bottom w:w="150" w:type="dxa"/>
              <w:right w:w="150" w:type="dxa"/>
            </w:tcMar>
            <w:vAlign w:val="center"/>
            <w:hideMark/>
          </w:tcPr>
          <w:p w14:paraId="06F1ED03" w14:textId="77777777" w:rsidR="005E64E5" w:rsidRPr="005E64E5" w:rsidRDefault="005E64E5" w:rsidP="005E64E5">
            <w:r w:rsidRPr="005E64E5">
              <w:t>10.0 (Crit.)</w:t>
            </w:r>
          </w:p>
        </w:tc>
        <w:tc>
          <w:tcPr>
            <w:tcW w:w="0" w:type="auto"/>
            <w:tcMar>
              <w:top w:w="150" w:type="dxa"/>
              <w:left w:w="150" w:type="dxa"/>
              <w:bottom w:w="150" w:type="dxa"/>
              <w:right w:w="150" w:type="dxa"/>
            </w:tcMar>
            <w:vAlign w:val="center"/>
            <w:hideMark/>
          </w:tcPr>
          <w:p w14:paraId="0A1E4DA8" w14:textId="77777777" w:rsidR="005E64E5" w:rsidRPr="005E64E5" w:rsidRDefault="005E64E5" w:rsidP="005E64E5">
            <w:r w:rsidRPr="005E64E5">
              <w:t>Critical</w:t>
            </w:r>
          </w:p>
        </w:tc>
        <w:tc>
          <w:tcPr>
            <w:tcW w:w="0" w:type="auto"/>
            <w:tcMar>
              <w:top w:w="150" w:type="dxa"/>
              <w:left w:w="150" w:type="dxa"/>
              <w:bottom w:w="150" w:type="dxa"/>
              <w:right w:w="150" w:type="dxa"/>
            </w:tcMar>
            <w:vAlign w:val="center"/>
            <w:hideMark/>
          </w:tcPr>
          <w:p w14:paraId="4795D709" w14:textId="77777777" w:rsidR="005E64E5" w:rsidRPr="005E64E5" w:rsidRDefault="005E64E5" w:rsidP="005E64E5">
            <w:r w:rsidRPr="005E64E5">
              <w:t>NDPR 2.6, GDPR Art. 32, ISO A.8.8</w:t>
            </w:r>
          </w:p>
        </w:tc>
      </w:tr>
      <w:tr w:rsidR="005E64E5" w:rsidRPr="005E64E5" w14:paraId="5D54D89B" w14:textId="77777777" w:rsidTr="002A7342">
        <w:tc>
          <w:tcPr>
            <w:tcW w:w="0" w:type="auto"/>
            <w:tcMar>
              <w:top w:w="150" w:type="dxa"/>
              <w:left w:w="0" w:type="dxa"/>
              <w:bottom w:w="150" w:type="dxa"/>
              <w:right w:w="150" w:type="dxa"/>
            </w:tcMar>
            <w:vAlign w:val="center"/>
            <w:hideMark/>
          </w:tcPr>
          <w:p w14:paraId="46FBA78D" w14:textId="77777777" w:rsidR="005E64E5" w:rsidRPr="005E64E5" w:rsidRDefault="005E64E5" w:rsidP="005E64E5">
            <w:r w:rsidRPr="005E64E5">
              <w:t>Anonymous FTP Login</w:t>
            </w:r>
          </w:p>
        </w:tc>
        <w:tc>
          <w:tcPr>
            <w:tcW w:w="0" w:type="auto"/>
            <w:tcMar>
              <w:top w:w="150" w:type="dxa"/>
              <w:left w:w="150" w:type="dxa"/>
              <w:bottom w:w="150" w:type="dxa"/>
              <w:right w:w="150" w:type="dxa"/>
            </w:tcMar>
            <w:vAlign w:val="center"/>
            <w:hideMark/>
          </w:tcPr>
          <w:p w14:paraId="3F57B473" w14:textId="77777777" w:rsidR="005E64E5" w:rsidRPr="005E64E5" w:rsidRDefault="005E64E5" w:rsidP="005E64E5">
            <w:r w:rsidRPr="005E64E5">
              <w:t>N/A</w:t>
            </w:r>
          </w:p>
        </w:tc>
        <w:tc>
          <w:tcPr>
            <w:tcW w:w="0" w:type="auto"/>
            <w:tcMar>
              <w:top w:w="150" w:type="dxa"/>
              <w:left w:w="150" w:type="dxa"/>
              <w:bottom w:w="150" w:type="dxa"/>
              <w:right w:w="150" w:type="dxa"/>
            </w:tcMar>
            <w:vAlign w:val="center"/>
            <w:hideMark/>
          </w:tcPr>
          <w:p w14:paraId="22B26CA8" w14:textId="77777777" w:rsidR="005E64E5" w:rsidRPr="005E64E5" w:rsidRDefault="005E64E5" w:rsidP="005E64E5">
            <w:r w:rsidRPr="005E64E5">
              <w:t>7.5 (High)</w:t>
            </w:r>
          </w:p>
        </w:tc>
        <w:tc>
          <w:tcPr>
            <w:tcW w:w="0" w:type="auto"/>
            <w:tcMar>
              <w:top w:w="150" w:type="dxa"/>
              <w:left w:w="150" w:type="dxa"/>
              <w:bottom w:w="150" w:type="dxa"/>
              <w:right w:w="150" w:type="dxa"/>
            </w:tcMar>
            <w:vAlign w:val="center"/>
            <w:hideMark/>
          </w:tcPr>
          <w:p w14:paraId="31FF2A72" w14:textId="77777777" w:rsidR="005E64E5" w:rsidRPr="005E64E5" w:rsidRDefault="005E64E5" w:rsidP="005E64E5">
            <w:r w:rsidRPr="005E64E5">
              <w:t>Critical</w:t>
            </w:r>
          </w:p>
        </w:tc>
        <w:tc>
          <w:tcPr>
            <w:tcW w:w="0" w:type="auto"/>
            <w:tcMar>
              <w:top w:w="150" w:type="dxa"/>
              <w:left w:w="150" w:type="dxa"/>
              <w:bottom w:w="150" w:type="dxa"/>
              <w:right w:w="150" w:type="dxa"/>
            </w:tcMar>
            <w:vAlign w:val="center"/>
            <w:hideMark/>
          </w:tcPr>
          <w:p w14:paraId="250C20D9" w14:textId="77777777" w:rsidR="005E64E5" w:rsidRPr="005E64E5" w:rsidRDefault="005E64E5" w:rsidP="005E64E5">
            <w:r w:rsidRPr="005E64E5">
              <w:t>NDPR 2.6, GDPR Art. 25/32</w:t>
            </w:r>
          </w:p>
        </w:tc>
      </w:tr>
      <w:tr w:rsidR="005E64E5" w:rsidRPr="005E64E5" w14:paraId="7A3D3872" w14:textId="77777777" w:rsidTr="002A7342">
        <w:tc>
          <w:tcPr>
            <w:tcW w:w="0" w:type="auto"/>
            <w:tcMar>
              <w:top w:w="150" w:type="dxa"/>
              <w:left w:w="0" w:type="dxa"/>
              <w:bottom w:w="150" w:type="dxa"/>
              <w:right w:w="150" w:type="dxa"/>
            </w:tcMar>
            <w:vAlign w:val="center"/>
            <w:hideMark/>
          </w:tcPr>
          <w:p w14:paraId="1B069FDB" w14:textId="77777777" w:rsidR="005E64E5" w:rsidRPr="005E64E5" w:rsidRDefault="005E64E5" w:rsidP="005E64E5">
            <w:r w:rsidRPr="005E64E5">
              <w:t>Apache HTTPD Vulns</w:t>
            </w:r>
          </w:p>
        </w:tc>
        <w:tc>
          <w:tcPr>
            <w:tcW w:w="0" w:type="auto"/>
            <w:tcMar>
              <w:top w:w="150" w:type="dxa"/>
              <w:left w:w="150" w:type="dxa"/>
              <w:bottom w:w="150" w:type="dxa"/>
              <w:right w:w="150" w:type="dxa"/>
            </w:tcMar>
            <w:vAlign w:val="center"/>
            <w:hideMark/>
          </w:tcPr>
          <w:p w14:paraId="682F5D76" w14:textId="77777777" w:rsidR="005E64E5" w:rsidRPr="005E64E5" w:rsidRDefault="005E64E5" w:rsidP="005E64E5">
            <w:r w:rsidRPr="005E64E5">
              <w:t>Multiple</w:t>
            </w:r>
          </w:p>
        </w:tc>
        <w:tc>
          <w:tcPr>
            <w:tcW w:w="0" w:type="auto"/>
            <w:tcMar>
              <w:top w:w="150" w:type="dxa"/>
              <w:left w:w="150" w:type="dxa"/>
              <w:bottom w:w="150" w:type="dxa"/>
              <w:right w:w="150" w:type="dxa"/>
            </w:tcMar>
            <w:vAlign w:val="center"/>
            <w:hideMark/>
          </w:tcPr>
          <w:p w14:paraId="7C216DF3" w14:textId="77777777" w:rsidR="005E64E5" w:rsidRPr="005E64E5" w:rsidRDefault="005E64E5" w:rsidP="005E64E5">
            <w:r w:rsidRPr="005E64E5">
              <w:t>7.5 (High)</w:t>
            </w:r>
          </w:p>
        </w:tc>
        <w:tc>
          <w:tcPr>
            <w:tcW w:w="0" w:type="auto"/>
            <w:tcMar>
              <w:top w:w="150" w:type="dxa"/>
              <w:left w:w="150" w:type="dxa"/>
              <w:bottom w:w="150" w:type="dxa"/>
              <w:right w:w="150" w:type="dxa"/>
            </w:tcMar>
            <w:vAlign w:val="center"/>
            <w:hideMark/>
          </w:tcPr>
          <w:p w14:paraId="29840DAC" w14:textId="77777777" w:rsidR="005E64E5" w:rsidRPr="005E64E5" w:rsidRDefault="005E64E5" w:rsidP="005E64E5">
            <w:r w:rsidRPr="005E64E5">
              <w:t>Critical</w:t>
            </w:r>
          </w:p>
        </w:tc>
        <w:tc>
          <w:tcPr>
            <w:tcW w:w="0" w:type="auto"/>
            <w:tcMar>
              <w:top w:w="150" w:type="dxa"/>
              <w:left w:w="150" w:type="dxa"/>
              <w:bottom w:w="150" w:type="dxa"/>
              <w:right w:w="150" w:type="dxa"/>
            </w:tcMar>
            <w:vAlign w:val="center"/>
            <w:hideMark/>
          </w:tcPr>
          <w:p w14:paraId="4A0D45D7" w14:textId="77777777" w:rsidR="005E64E5" w:rsidRPr="005E64E5" w:rsidRDefault="005E64E5" w:rsidP="005E64E5">
            <w:r w:rsidRPr="005E64E5">
              <w:t>NDPR 2.6, ISO A.8.8</w:t>
            </w:r>
          </w:p>
        </w:tc>
      </w:tr>
      <w:tr w:rsidR="005E64E5" w:rsidRPr="005E64E5" w14:paraId="4ACE5594" w14:textId="77777777" w:rsidTr="002A7342">
        <w:tc>
          <w:tcPr>
            <w:tcW w:w="0" w:type="auto"/>
            <w:tcMar>
              <w:top w:w="150" w:type="dxa"/>
              <w:left w:w="0" w:type="dxa"/>
              <w:bottom w:w="150" w:type="dxa"/>
              <w:right w:w="150" w:type="dxa"/>
            </w:tcMar>
            <w:vAlign w:val="center"/>
            <w:hideMark/>
          </w:tcPr>
          <w:p w14:paraId="19AB6A79" w14:textId="77777777" w:rsidR="005E64E5" w:rsidRPr="005E64E5" w:rsidRDefault="005E64E5" w:rsidP="005E64E5">
            <w:r w:rsidRPr="005E64E5">
              <w:t>Tomcat 5.5 RCE</w:t>
            </w:r>
          </w:p>
        </w:tc>
        <w:tc>
          <w:tcPr>
            <w:tcW w:w="0" w:type="auto"/>
            <w:tcMar>
              <w:top w:w="150" w:type="dxa"/>
              <w:left w:w="150" w:type="dxa"/>
              <w:bottom w:w="150" w:type="dxa"/>
              <w:right w:w="150" w:type="dxa"/>
            </w:tcMar>
            <w:vAlign w:val="center"/>
            <w:hideMark/>
          </w:tcPr>
          <w:p w14:paraId="60205D93" w14:textId="77777777" w:rsidR="005E64E5" w:rsidRPr="005E64E5" w:rsidRDefault="005E64E5" w:rsidP="005E64E5">
            <w:r w:rsidRPr="005E64E5">
              <w:t>Multiple</w:t>
            </w:r>
          </w:p>
        </w:tc>
        <w:tc>
          <w:tcPr>
            <w:tcW w:w="0" w:type="auto"/>
            <w:tcMar>
              <w:top w:w="150" w:type="dxa"/>
              <w:left w:w="150" w:type="dxa"/>
              <w:bottom w:w="150" w:type="dxa"/>
              <w:right w:w="150" w:type="dxa"/>
            </w:tcMar>
            <w:vAlign w:val="center"/>
            <w:hideMark/>
          </w:tcPr>
          <w:p w14:paraId="54B2C464" w14:textId="77777777" w:rsidR="005E64E5" w:rsidRPr="005E64E5" w:rsidRDefault="005E64E5" w:rsidP="005E64E5">
            <w:r w:rsidRPr="005E64E5">
              <w:t>9.0 (Crit.)</w:t>
            </w:r>
          </w:p>
        </w:tc>
        <w:tc>
          <w:tcPr>
            <w:tcW w:w="0" w:type="auto"/>
            <w:tcMar>
              <w:top w:w="150" w:type="dxa"/>
              <w:left w:w="150" w:type="dxa"/>
              <w:bottom w:w="150" w:type="dxa"/>
              <w:right w:w="150" w:type="dxa"/>
            </w:tcMar>
            <w:vAlign w:val="center"/>
            <w:hideMark/>
          </w:tcPr>
          <w:p w14:paraId="6925110F" w14:textId="77777777" w:rsidR="005E64E5" w:rsidRPr="005E64E5" w:rsidRDefault="005E64E5" w:rsidP="005E64E5">
            <w:r w:rsidRPr="005E64E5">
              <w:t>Critical</w:t>
            </w:r>
          </w:p>
        </w:tc>
        <w:tc>
          <w:tcPr>
            <w:tcW w:w="0" w:type="auto"/>
            <w:tcMar>
              <w:top w:w="150" w:type="dxa"/>
              <w:left w:w="150" w:type="dxa"/>
              <w:bottom w:w="150" w:type="dxa"/>
              <w:right w:w="150" w:type="dxa"/>
            </w:tcMar>
            <w:vAlign w:val="center"/>
            <w:hideMark/>
          </w:tcPr>
          <w:p w14:paraId="4E0C5965" w14:textId="77777777" w:rsidR="005E64E5" w:rsidRPr="005E64E5" w:rsidRDefault="005E64E5" w:rsidP="005E64E5">
            <w:r w:rsidRPr="005E64E5">
              <w:t>NDPR 2.6, ISO A.8.8</w:t>
            </w:r>
          </w:p>
        </w:tc>
      </w:tr>
    </w:tbl>
    <w:p w14:paraId="76E01211" w14:textId="77777777" w:rsidR="005E64E5" w:rsidRDefault="005E64E5"/>
    <w:p w14:paraId="6E574CD4" w14:textId="77777777" w:rsidR="00965BAF" w:rsidRDefault="00965BAF" w:rsidP="005E64E5">
      <w:pPr>
        <w:rPr>
          <w:b/>
          <w:bCs/>
        </w:rPr>
      </w:pPr>
    </w:p>
    <w:p w14:paraId="65A2BCAD" w14:textId="77777777" w:rsidR="00965BAF" w:rsidRDefault="00965BAF" w:rsidP="005E64E5">
      <w:pPr>
        <w:rPr>
          <w:b/>
          <w:bCs/>
        </w:rPr>
      </w:pPr>
    </w:p>
    <w:p w14:paraId="3E7FBF51" w14:textId="262B492B" w:rsidR="005E64E5" w:rsidRPr="005E64E5" w:rsidRDefault="005E64E5" w:rsidP="005E64E5">
      <w:r w:rsidRPr="005E64E5">
        <w:rPr>
          <w:b/>
          <w:bCs/>
        </w:rPr>
        <w:lastRenderedPageBreak/>
        <w:t>4. Governance Framework Policies</w:t>
      </w:r>
    </w:p>
    <w:p w14:paraId="45DB595D" w14:textId="77777777" w:rsidR="005E64E5" w:rsidRPr="005E64E5" w:rsidRDefault="005E64E5" w:rsidP="005E64E5">
      <w:r w:rsidRPr="005E64E5">
        <w:t>To address the root causes of the vulnerabilities, three core policies were established to provide governance and structure.</w:t>
      </w:r>
    </w:p>
    <w:p w14:paraId="0B001244" w14:textId="77777777" w:rsidR="005E64E5" w:rsidRPr="005E64E5" w:rsidRDefault="005E64E5" w:rsidP="005E64E5">
      <w:r w:rsidRPr="005E64E5">
        <w:rPr>
          <w:b/>
          <w:bCs/>
        </w:rPr>
        <w:t>4.1 Risk Management Policy</w:t>
      </w:r>
    </w:p>
    <w:p w14:paraId="1CC96723" w14:textId="77777777" w:rsidR="005E64E5" w:rsidRPr="005E64E5" w:rsidRDefault="005E64E5" w:rsidP="005E64E5">
      <w:pPr>
        <w:numPr>
          <w:ilvl w:val="0"/>
          <w:numId w:val="4"/>
        </w:numPr>
      </w:pPr>
      <w:r w:rsidRPr="005E64E5">
        <w:rPr>
          <w:b/>
          <w:bCs/>
        </w:rPr>
        <w:t>Purpose:</w:t>
      </w:r>
      <w:r w:rsidRPr="005E64E5">
        <w:t> To provide a structured framework for identifying, assessing, and treating cybersecurity risks.</w:t>
      </w:r>
    </w:p>
    <w:p w14:paraId="75867889" w14:textId="77777777" w:rsidR="005E64E5" w:rsidRPr="005E64E5" w:rsidRDefault="005E64E5" w:rsidP="005E64E5">
      <w:pPr>
        <w:numPr>
          <w:ilvl w:val="0"/>
          <w:numId w:val="4"/>
        </w:numPr>
      </w:pPr>
      <w:r w:rsidRPr="005E64E5">
        <w:rPr>
          <w:b/>
          <w:bCs/>
        </w:rPr>
        <w:t>Key Provisions:</w:t>
      </w:r>
      <w:r w:rsidRPr="005E64E5">
        <w:t> Mandates regular vulnerability scanning, documented risk assessments using a Likelihood/Impact matrix, and defined remediation timelines (Critical: 1 week, High: 2 weeks).</w:t>
      </w:r>
    </w:p>
    <w:p w14:paraId="42CB2345" w14:textId="7C31A4CA" w:rsidR="005E64E5" w:rsidRPr="005E64E5" w:rsidRDefault="005E64E5" w:rsidP="005E64E5">
      <w:pPr>
        <w:numPr>
          <w:ilvl w:val="0"/>
          <w:numId w:val="4"/>
        </w:numPr>
      </w:pPr>
      <w:r w:rsidRPr="005E64E5">
        <w:rPr>
          <w:b/>
          <w:bCs/>
        </w:rPr>
        <w:t>Compliance Mapping:</w:t>
      </w:r>
      <w:r w:rsidRPr="005E64E5">
        <w:t> Directly addresses </w:t>
      </w:r>
      <w:r w:rsidRPr="005E64E5">
        <w:rPr>
          <w:b/>
          <w:bCs/>
        </w:rPr>
        <w:t>NIST CSF ID.RA</w:t>
      </w:r>
      <w:r w:rsidR="006E29B2">
        <w:rPr>
          <w:b/>
          <w:bCs/>
        </w:rPr>
        <w:t xml:space="preserve">-01, </w:t>
      </w:r>
      <w:r w:rsidR="006E29B2" w:rsidRPr="005E64E5">
        <w:rPr>
          <w:b/>
          <w:bCs/>
        </w:rPr>
        <w:t>ID.RA</w:t>
      </w:r>
      <w:r w:rsidR="006E29B2">
        <w:rPr>
          <w:b/>
          <w:bCs/>
        </w:rPr>
        <w:t>-02</w:t>
      </w:r>
      <w:r w:rsidRPr="005E64E5">
        <w:t>,</w:t>
      </w:r>
      <w:r w:rsidR="006E29B2">
        <w:t xml:space="preserve"> </w:t>
      </w:r>
      <w:r w:rsidR="006E29B2" w:rsidRPr="005E64E5">
        <w:rPr>
          <w:b/>
          <w:bCs/>
        </w:rPr>
        <w:t>ID.RA</w:t>
      </w:r>
      <w:r w:rsidR="006E29B2">
        <w:rPr>
          <w:b/>
          <w:bCs/>
        </w:rPr>
        <w:t xml:space="preserve">-03, </w:t>
      </w:r>
      <w:r w:rsidR="006E29B2" w:rsidRPr="005E64E5">
        <w:rPr>
          <w:b/>
          <w:bCs/>
        </w:rPr>
        <w:t>ID.RA</w:t>
      </w:r>
      <w:r w:rsidR="006E29B2">
        <w:rPr>
          <w:b/>
          <w:bCs/>
        </w:rPr>
        <w:t>-04,</w:t>
      </w:r>
      <w:r w:rsidRPr="005E64E5">
        <w:t> </w:t>
      </w:r>
      <w:r w:rsidRPr="005E64E5">
        <w:rPr>
          <w:b/>
          <w:bCs/>
        </w:rPr>
        <w:t>ISO 27001 A.8.8</w:t>
      </w:r>
      <w:r w:rsidRPr="005E64E5">
        <w:t>, and </w:t>
      </w:r>
      <w:r w:rsidRPr="005E64E5">
        <w:rPr>
          <w:b/>
          <w:bCs/>
        </w:rPr>
        <w:t>GDPR Art. 32</w:t>
      </w:r>
      <w:r w:rsidRPr="005E64E5">
        <w:t>.</w:t>
      </w:r>
    </w:p>
    <w:p w14:paraId="0614DF84" w14:textId="77777777" w:rsidR="005E64E5" w:rsidRPr="005E64E5" w:rsidRDefault="005E64E5" w:rsidP="005E64E5">
      <w:r w:rsidRPr="005E64E5">
        <w:rPr>
          <w:b/>
          <w:bCs/>
        </w:rPr>
        <w:t>4.2 Data Security Policy</w:t>
      </w:r>
    </w:p>
    <w:p w14:paraId="69CF8F6F" w14:textId="32AF2BA4" w:rsidR="005E64E5" w:rsidRPr="005E64E5" w:rsidRDefault="005E64E5" w:rsidP="005E64E5">
      <w:pPr>
        <w:numPr>
          <w:ilvl w:val="0"/>
          <w:numId w:val="5"/>
        </w:numPr>
      </w:pPr>
      <w:r w:rsidRPr="005E64E5">
        <w:rPr>
          <w:b/>
          <w:bCs/>
        </w:rPr>
        <w:t>Purpose:</w:t>
      </w:r>
      <w:r w:rsidRPr="005E64E5">
        <w:t xml:space="preserve"> To ensure </w:t>
      </w:r>
      <w:r w:rsidR="00C85719" w:rsidRPr="005E64E5">
        <w:t>confidentiality</w:t>
      </w:r>
      <w:r w:rsidRPr="005E64E5">
        <w:t>, integrity, and availability of all patient health data.</w:t>
      </w:r>
    </w:p>
    <w:p w14:paraId="5ABE9646" w14:textId="621A5ABF" w:rsidR="005E64E5" w:rsidRPr="005E64E5" w:rsidRDefault="005E64E5" w:rsidP="005E64E5">
      <w:pPr>
        <w:numPr>
          <w:ilvl w:val="0"/>
          <w:numId w:val="5"/>
        </w:numPr>
      </w:pPr>
      <w:r w:rsidRPr="005E64E5">
        <w:rPr>
          <w:b/>
          <w:bCs/>
        </w:rPr>
        <w:t>Key Provisions:</w:t>
      </w:r>
      <w:r w:rsidRPr="005E64E5">
        <w:t> Requires encryption of data at rest (AES-256)</w:t>
      </w:r>
      <w:r w:rsidR="00E1362D">
        <w:t>, data</w:t>
      </w:r>
      <w:r w:rsidRPr="005E64E5">
        <w:t xml:space="preserve"> in transit (TLS 1.2+)</w:t>
      </w:r>
      <w:r w:rsidR="00E1362D">
        <w:t xml:space="preserve"> and data in use,</w:t>
      </w:r>
      <w:r w:rsidRPr="005E64E5">
        <w:t xml:space="preserve"> strict Role-Based Access Control (RBAC), secure data disposal procedures, and a 72-hour breach notification protocol.</w:t>
      </w:r>
    </w:p>
    <w:p w14:paraId="5C97EC6C" w14:textId="41AD9276" w:rsidR="005E64E5" w:rsidRPr="005E64E5" w:rsidRDefault="005E64E5" w:rsidP="005E64E5">
      <w:pPr>
        <w:numPr>
          <w:ilvl w:val="0"/>
          <w:numId w:val="5"/>
        </w:numPr>
      </w:pPr>
      <w:r w:rsidRPr="005E64E5">
        <w:rPr>
          <w:b/>
          <w:bCs/>
        </w:rPr>
        <w:t>Compliance Mapping:</w:t>
      </w:r>
      <w:r w:rsidRPr="005E64E5">
        <w:t> Enforces </w:t>
      </w:r>
      <w:r w:rsidRPr="005E64E5">
        <w:rPr>
          <w:b/>
          <w:bCs/>
        </w:rPr>
        <w:t>NDPR Sec. 2.1 &amp; 4.2</w:t>
      </w:r>
      <w:r w:rsidRPr="005E64E5">
        <w:t>, </w:t>
      </w:r>
      <w:r w:rsidRPr="005E64E5">
        <w:rPr>
          <w:b/>
          <w:bCs/>
        </w:rPr>
        <w:t>GDPR Art. 5, 25, 32, 33, 34</w:t>
      </w:r>
      <w:r w:rsidRPr="005E64E5">
        <w:t>, and </w:t>
      </w:r>
      <w:r w:rsidRPr="005E64E5">
        <w:rPr>
          <w:b/>
          <w:bCs/>
        </w:rPr>
        <w:t>ISO 27001</w:t>
      </w:r>
      <w:r w:rsidR="002A7342">
        <w:rPr>
          <w:b/>
          <w:bCs/>
        </w:rPr>
        <w:t>:2022</w:t>
      </w:r>
      <w:r w:rsidRPr="005E64E5">
        <w:rPr>
          <w:b/>
          <w:bCs/>
        </w:rPr>
        <w:t xml:space="preserve"> A.8.2</w:t>
      </w:r>
      <w:r w:rsidRPr="005E64E5">
        <w:t>.</w:t>
      </w:r>
    </w:p>
    <w:p w14:paraId="4B55C1C7" w14:textId="77777777" w:rsidR="005E64E5" w:rsidRPr="005E64E5" w:rsidRDefault="005E64E5" w:rsidP="005E64E5">
      <w:r w:rsidRPr="005E64E5">
        <w:rPr>
          <w:b/>
          <w:bCs/>
        </w:rPr>
        <w:t>4.3 Auditing &amp; Compliance Policy</w:t>
      </w:r>
    </w:p>
    <w:p w14:paraId="33F7C144" w14:textId="77777777" w:rsidR="005E64E5" w:rsidRPr="005E64E5" w:rsidRDefault="005E64E5" w:rsidP="005E64E5">
      <w:pPr>
        <w:numPr>
          <w:ilvl w:val="0"/>
          <w:numId w:val="6"/>
        </w:numPr>
      </w:pPr>
      <w:r w:rsidRPr="005E64E5">
        <w:rPr>
          <w:b/>
          <w:bCs/>
        </w:rPr>
        <w:t>Purpose:</w:t>
      </w:r>
      <w:r w:rsidRPr="005E64E5">
        <w:t> To ensure accountability and continuous adherence to regulatory requirements.</w:t>
      </w:r>
    </w:p>
    <w:p w14:paraId="42BE1C9A" w14:textId="3A9FE35E" w:rsidR="005E64E5" w:rsidRPr="005E64E5" w:rsidRDefault="005E64E5" w:rsidP="005E64E5">
      <w:pPr>
        <w:numPr>
          <w:ilvl w:val="0"/>
          <w:numId w:val="6"/>
        </w:numPr>
      </w:pPr>
      <w:r w:rsidRPr="005E64E5">
        <w:rPr>
          <w:b/>
          <w:bCs/>
        </w:rPr>
        <w:t>Key Provisions:</w:t>
      </w:r>
      <w:r w:rsidRPr="005E64E5">
        <w:t> Mandates quarterly internal audits, annual external audits (e.g., for ISO 27001</w:t>
      </w:r>
      <w:r w:rsidR="00664F4F">
        <w:t>:2022</w:t>
      </w:r>
      <w:r w:rsidRPr="005E64E5">
        <w:t>), and management reviews of compliance status.</w:t>
      </w:r>
    </w:p>
    <w:p w14:paraId="125C240D" w14:textId="77777777" w:rsidR="005E64E5" w:rsidRPr="005E64E5" w:rsidRDefault="005E64E5" w:rsidP="005E64E5">
      <w:pPr>
        <w:numPr>
          <w:ilvl w:val="0"/>
          <w:numId w:val="6"/>
        </w:numPr>
      </w:pPr>
      <w:r w:rsidRPr="005E64E5">
        <w:rPr>
          <w:b/>
          <w:bCs/>
        </w:rPr>
        <w:t>Compliance Mapping:</w:t>
      </w:r>
      <w:r w:rsidRPr="005E64E5">
        <w:t> Fulfills </w:t>
      </w:r>
      <w:r w:rsidRPr="005E64E5">
        <w:rPr>
          <w:b/>
          <w:bCs/>
        </w:rPr>
        <w:t>GDPR Art. 5(2) (Accountability)</w:t>
      </w:r>
      <w:r w:rsidRPr="005E64E5">
        <w:t>, </w:t>
      </w:r>
      <w:r w:rsidRPr="005E64E5">
        <w:rPr>
          <w:b/>
          <w:bCs/>
        </w:rPr>
        <w:t>ISO 27001 A.18.2.3</w:t>
      </w:r>
      <w:r w:rsidRPr="005E64E5">
        <w:t>, and </w:t>
      </w:r>
      <w:r w:rsidRPr="005E64E5">
        <w:rPr>
          <w:b/>
          <w:bCs/>
        </w:rPr>
        <w:t>NDPR compliance obligations</w:t>
      </w:r>
      <w:r w:rsidRPr="005E64E5">
        <w:t>.</w:t>
      </w:r>
    </w:p>
    <w:p w14:paraId="5BDAC1D0" w14:textId="77777777" w:rsidR="00F35139" w:rsidRDefault="00F35139" w:rsidP="005E64E5">
      <w:pPr>
        <w:rPr>
          <w:b/>
          <w:bCs/>
        </w:rPr>
      </w:pPr>
    </w:p>
    <w:p w14:paraId="22360E29" w14:textId="77777777" w:rsidR="00F35139" w:rsidRDefault="00F35139" w:rsidP="005E64E5">
      <w:pPr>
        <w:rPr>
          <w:b/>
          <w:bCs/>
        </w:rPr>
      </w:pPr>
    </w:p>
    <w:p w14:paraId="753A73A0" w14:textId="77777777" w:rsidR="00F35139" w:rsidRDefault="00F35139" w:rsidP="005E64E5">
      <w:pPr>
        <w:rPr>
          <w:b/>
          <w:bCs/>
        </w:rPr>
      </w:pPr>
    </w:p>
    <w:p w14:paraId="74CE357B" w14:textId="77777777" w:rsidR="00F35139" w:rsidRDefault="00F35139" w:rsidP="005E64E5">
      <w:pPr>
        <w:rPr>
          <w:b/>
          <w:bCs/>
        </w:rPr>
      </w:pPr>
    </w:p>
    <w:p w14:paraId="1E5544DF" w14:textId="77777777" w:rsidR="00F35139" w:rsidRDefault="00F35139" w:rsidP="005E64E5">
      <w:pPr>
        <w:rPr>
          <w:b/>
          <w:bCs/>
        </w:rPr>
      </w:pPr>
    </w:p>
    <w:p w14:paraId="560759B9" w14:textId="77777777" w:rsidR="00F35139" w:rsidRDefault="00F35139" w:rsidP="005E64E5">
      <w:pPr>
        <w:rPr>
          <w:b/>
          <w:bCs/>
        </w:rPr>
      </w:pPr>
    </w:p>
    <w:p w14:paraId="61901E11" w14:textId="77777777" w:rsidR="00F35139" w:rsidRDefault="00F35139" w:rsidP="005E64E5">
      <w:pPr>
        <w:rPr>
          <w:b/>
          <w:bCs/>
        </w:rPr>
      </w:pPr>
    </w:p>
    <w:p w14:paraId="73DFD3F9" w14:textId="7309FF32" w:rsidR="005E64E5" w:rsidRPr="005E64E5" w:rsidRDefault="005E64E5" w:rsidP="005E64E5">
      <w:r w:rsidRPr="005E64E5">
        <w:rPr>
          <w:b/>
          <w:bCs/>
        </w:rPr>
        <w:t>5. Implementation &amp; Auditing Plan</w:t>
      </w:r>
    </w:p>
    <w:p w14:paraId="6CD3DBB5" w14:textId="77777777" w:rsidR="005E64E5" w:rsidRDefault="005E64E5" w:rsidP="005E64E5">
      <w:r w:rsidRPr="005E64E5">
        <w:t>A phased approach is designed for effective execution with minimal disruption.</w:t>
      </w:r>
    </w:p>
    <w:p w14:paraId="3C858157" w14:textId="3FE32135" w:rsidR="00F35139" w:rsidRPr="005E64E5" w:rsidRDefault="00F35139" w:rsidP="005E64E5">
      <w:r w:rsidRPr="00F35139">
        <w:rPr>
          <w:noProof/>
        </w:rPr>
        <w:drawing>
          <wp:inline distT="0" distB="0" distL="0" distR="0" wp14:anchorId="077DB391" wp14:editId="34E2A0C0">
            <wp:extent cx="5943600" cy="3962400"/>
            <wp:effectExtent l="0" t="0" r="0" b="0"/>
            <wp:docPr id="388738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38132" name=""/>
                    <pic:cNvPicPr/>
                  </pic:nvPicPr>
                  <pic:blipFill>
                    <a:blip r:embed="rId5"/>
                    <a:stretch>
                      <a:fillRect/>
                    </a:stretch>
                  </pic:blipFill>
                  <pic:spPr>
                    <a:xfrm>
                      <a:off x="0" y="0"/>
                      <a:ext cx="5943600" cy="3962400"/>
                    </a:xfrm>
                    <a:prstGeom prst="rect">
                      <a:avLst/>
                    </a:prstGeom>
                  </pic:spPr>
                </pic:pic>
              </a:graphicData>
            </a:graphic>
          </wp:inline>
        </w:drawing>
      </w:r>
    </w:p>
    <w:p w14:paraId="16A0B075" w14:textId="77777777" w:rsidR="005E64E5" w:rsidRPr="005E64E5" w:rsidRDefault="005E64E5" w:rsidP="005E64E5">
      <w:r w:rsidRPr="005E64E5">
        <w:rPr>
          <w:b/>
          <w:bCs/>
        </w:rPr>
        <w:t>Phase 1: Immediate Remediation (Weeks 1-2)</w:t>
      </w:r>
    </w:p>
    <w:p w14:paraId="2D9E3C2A" w14:textId="04816B7C" w:rsidR="005E64E5" w:rsidRPr="005E64E5" w:rsidRDefault="005E64E5" w:rsidP="005E64E5">
      <w:pPr>
        <w:numPr>
          <w:ilvl w:val="0"/>
          <w:numId w:val="7"/>
        </w:numPr>
      </w:pPr>
      <w:r w:rsidRPr="005E64E5">
        <w:rPr>
          <w:b/>
          <w:bCs/>
        </w:rPr>
        <w:t>Actions:</w:t>
      </w:r>
      <w:r w:rsidRPr="005E64E5">
        <w:t xml:space="preserve"> Disable anonymous FTP and </w:t>
      </w:r>
      <w:proofErr w:type="gramStart"/>
      <w:r w:rsidRPr="005E64E5">
        <w:t>Telnet</w:t>
      </w:r>
      <w:r w:rsidR="0069178F">
        <w:t>(</w:t>
      </w:r>
      <w:proofErr w:type="gramEnd"/>
      <w:r w:rsidR="0069178F">
        <w:t xml:space="preserve">use only for testing or </w:t>
      </w:r>
      <w:proofErr w:type="spellStart"/>
      <w:r w:rsidR="0069178F">
        <w:t>validatiion</w:t>
      </w:r>
      <w:proofErr w:type="spellEnd"/>
      <w:r w:rsidR="0069178F">
        <w:t>)</w:t>
      </w:r>
      <w:r w:rsidRPr="005E64E5">
        <w:t xml:space="preserve">. Apply available patches for </w:t>
      </w:r>
      <w:proofErr w:type="spellStart"/>
      <w:r w:rsidRPr="005E64E5">
        <w:t>vsFTPd</w:t>
      </w:r>
      <w:proofErr w:type="spellEnd"/>
      <w:r w:rsidRPr="005E64E5">
        <w:t>, Samba, Apache, and MySQL. Isolate critical databases.</w:t>
      </w:r>
    </w:p>
    <w:p w14:paraId="2A76F1EC" w14:textId="77777777" w:rsidR="005E64E5" w:rsidRPr="005E64E5" w:rsidRDefault="005E64E5" w:rsidP="005E64E5">
      <w:pPr>
        <w:numPr>
          <w:ilvl w:val="0"/>
          <w:numId w:val="7"/>
        </w:numPr>
      </w:pPr>
      <w:r w:rsidRPr="005E64E5">
        <w:rPr>
          <w:b/>
          <w:bCs/>
        </w:rPr>
        <w:t>Owner:</w:t>
      </w:r>
      <w:r w:rsidRPr="005E64E5">
        <w:t> IT Security Team &amp; System Administrators.</w:t>
      </w:r>
    </w:p>
    <w:p w14:paraId="302BBC55" w14:textId="77777777" w:rsidR="005E64E5" w:rsidRPr="005E64E5" w:rsidRDefault="005E64E5" w:rsidP="005E64E5">
      <w:r w:rsidRPr="005E64E5">
        <w:rPr>
          <w:b/>
          <w:bCs/>
        </w:rPr>
        <w:t>Phase 2: Control Implementation (Weeks 3-4)</w:t>
      </w:r>
    </w:p>
    <w:p w14:paraId="18E4DB4E" w14:textId="67C0CAEF" w:rsidR="005E64E5" w:rsidRPr="005E64E5" w:rsidRDefault="005E64E5" w:rsidP="005E64E5">
      <w:pPr>
        <w:numPr>
          <w:ilvl w:val="0"/>
          <w:numId w:val="8"/>
        </w:numPr>
      </w:pPr>
      <w:r w:rsidRPr="005E64E5">
        <w:rPr>
          <w:b/>
          <w:bCs/>
        </w:rPr>
        <w:t>Actions:</w:t>
      </w:r>
      <w:r w:rsidRPr="005E64E5">
        <w:t xml:space="preserve"> Enforce password policies and </w:t>
      </w:r>
      <w:r w:rsidR="00816293">
        <w:t xml:space="preserve">Role Based Access </w:t>
      </w:r>
      <w:proofErr w:type="gramStart"/>
      <w:r w:rsidR="00816293">
        <w:t>Control(</w:t>
      </w:r>
      <w:proofErr w:type="gramEnd"/>
      <w:r w:rsidRPr="005E64E5">
        <w:t>RBAC</w:t>
      </w:r>
      <w:r w:rsidR="00816293">
        <w:t>)</w:t>
      </w:r>
      <w:r w:rsidRPr="005E64E5">
        <w:t>. Configure TLS for SMTP and web services. Deploy a centralized logging solution (e.g., Splunk/Syslog).</w:t>
      </w:r>
    </w:p>
    <w:p w14:paraId="1EBDEB52" w14:textId="77777777" w:rsidR="005E64E5" w:rsidRPr="005E64E5" w:rsidRDefault="005E64E5" w:rsidP="005E64E5">
      <w:pPr>
        <w:numPr>
          <w:ilvl w:val="0"/>
          <w:numId w:val="8"/>
        </w:numPr>
      </w:pPr>
      <w:r w:rsidRPr="005E64E5">
        <w:rPr>
          <w:b/>
          <w:bCs/>
        </w:rPr>
        <w:lastRenderedPageBreak/>
        <w:t>Owner:</w:t>
      </w:r>
      <w:r w:rsidRPr="005E64E5">
        <w:t> System Administrators &amp; Compliance Officer.</w:t>
      </w:r>
    </w:p>
    <w:p w14:paraId="76F9742A" w14:textId="77777777" w:rsidR="005E64E5" w:rsidRPr="005E64E5" w:rsidRDefault="005E64E5" w:rsidP="005E64E5">
      <w:r w:rsidRPr="005E64E5">
        <w:rPr>
          <w:b/>
          <w:bCs/>
        </w:rPr>
        <w:t>Phase 3: Monitoring &amp; Auditing Setup (Ongoing)</w:t>
      </w:r>
    </w:p>
    <w:p w14:paraId="5AEA651E" w14:textId="77777777" w:rsidR="005E64E5" w:rsidRPr="005E64E5" w:rsidRDefault="005E64E5" w:rsidP="005E64E5">
      <w:pPr>
        <w:numPr>
          <w:ilvl w:val="0"/>
          <w:numId w:val="9"/>
        </w:numPr>
      </w:pPr>
      <w:r w:rsidRPr="005E64E5">
        <w:rPr>
          <w:b/>
          <w:bCs/>
        </w:rPr>
        <w:t>Actions:</w:t>
      </w:r>
      <w:r w:rsidRPr="005E64E5">
        <w:t> Implement weekly vulnerability scans. Schedule monthly compliance audits against control frameworks. Conduct quarterly penetration tests.</w:t>
      </w:r>
    </w:p>
    <w:p w14:paraId="6D362575" w14:textId="77777777" w:rsidR="005E64E5" w:rsidRPr="005E64E5" w:rsidRDefault="005E64E5" w:rsidP="005E64E5">
      <w:pPr>
        <w:numPr>
          <w:ilvl w:val="0"/>
          <w:numId w:val="9"/>
        </w:numPr>
      </w:pPr>
      <w:r w:rsidRPr="005E64E5">
        <w:rPr>
          <w:b/>
          <w:bCs/>
        </w:rPr>
        <w:t>Owner:</w:t>
      </w:r>
      <w:r w:rsidRPr="005E64E5">
        <w:t> IT Security Team &amp; Compliance Officer.</w:t>
      </w:r>
    </w:p>
    <w:p w14:paraId="5147F97B" w14:textId="77777777" w:rsidR="005E64E5" w:rsidRPr="005E64E5" w:rsidRDefault="005E64E5" w:rsidP="005E64E5">
      <w:r w:rsidRPr="005E64E5">
        <w:rPr>
          <w:b/>
          <w:bCs/>
        </w:rPr>
        <w:t>Monitoring KPIs:</w:t>
      </w:r>
    </w:p>
    <w:p w14:paraId="513AC6D0" w14:textId="77777777" w:rsidR="005E64E5" w:rsidRPr="005E64E5" w:rsidRDefault="005E64E5" w:rsidP="005E64E5">
      <w:pPr>
        <w:numPr>
          <w:ilvl w:val="0"/>
          <w:numId w:val="10"/>
        </w:numPr>
      </w:pPr>
      <w:r w:rsidRPr="005E64E5">
        <w:t>% of Critical Vulnerabilities Patched within SLA</w:t>
      </w:r>
    </w:p>
    <w:p w14:paraId="56E9FF50" w14:textId="77777777" w:rsidR="005E64E5" w:rsidRPr="005E64E5" w:rsidRDefault="005E64E5" w:rsidP="005E64E5">
      <w:pPr>
        <w:numPr>
          <w:ilvl w:val="0"/>
          <w:numId w:val="10"/>
        </w:numPr>
      </w:pPr>
      <w:r w:rsidRPr="005E64E5">
        <w:t>% of Systems with Encryption Enforced</w:t>
      </w:r>
    </w:p>
    <w:p w14:paraId="69F49386" w14:textId="77777777" w:rsidR="005E64E5" w:rsidRPr="005E64E5" w:rsidRDefault="005E64E5" w:rsidP="005E64E5">
      <w:pPr>
        <w:numPr>
          <w:ilvl w:val="0"/>
          <w:numId w:val="10"/>
        </w:numPr>
      </w:pPr>
      <w:r w:rsidRPr="005E64E5">
        <w:t>Number of Audit Findings per Cycle</w:t>
      </w:r>
    </w:p>
    <w:p w14:paraId="1C402419" w14:textId="77777777" w:rsidR="005E64E5" w:rsidRDefault="005E64E5"/>
    <w:p w14:paraId="5BDE37F1" w14:textId="77777777" w:rsidR="005E64E5" w:rsidRPr="005E64E5" w:rsidRDefault="005E64E5" w:rsidP="005E64E5">
      <w:r w:rsidRPr="005E64E5">
        <w:rPr>
          <w:b/>
          <w:bCs/>
        </w:rPr>
        <w:t>6. Actionable Recommendations &amp; Roadmap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8"/>
        <w:gridCol w:w="4323"/>
        <w:gridCol w:w="2071"/>
        <w:gridCol w:w="1828"/>
      </w:tblGrid>
      <w:tr w:rsidR="005E64E5" w:rsidRPr="005E64E5" w14:paraId="199B7080" w14:textId="77777777" w:rsidTr="001C1720">
        <w:trPr>
          <w:tblHeader/>
        </w:trPr>
        <w:tc>
          <w:tcPr>
            <w:tcW w:w="0" w:type="auto"/>
            <w:tcMar>
              <w:top w:w="150" w:type="dxa"/>
              <w:left w:w="0" w:type="dxa"/>
              <w:bottom w:w="150" w:type="dxa"/>
              <w:right w:w="150" w:type="dxa"/>
            </w:tcMar>
            <w:vAlign w:val="center"/>
            <w:hideMark/>
          </w:tcPr>
          <w:p w14:paraId="77150B43" w14:textId="77777777" w:rsidR="005E64E5" w:rsidRPr="005E64E5" w:rsidRDefault="005E64E5" w:rsidP="005E64E5">
            <w:pPr>
              <w:rPr>
                <w:b/>
                <w:bCs/>
              </w:rPr>
            </w:pPr>
            <w:r w:rsidRPr="005E64E5">
              <w:rPr>
                <w:b/>
                <w:bCs/>
              </w:rPr>
              <w:t>Priority</w:t>
            </w:r>
          </w:p>
        </w:tc>
        <w:tc>
          <w:tcPr>
            <w:tcW w:w="0" w:type="auto"/>
            <w:tcMar>
              <w:top w:w="150" w:type="dxa"/>
              <w:left w:w="150" w:type="dxa"/>
              <w:bottom w:w="150" w:type="dxa"/>
              <w:right w:w="150" w:type="dxa"/>
            </w:tcMar>
            <w:vAlign w:val="center"/>
            <w:hideMark/>
          </w:tcPr>
          <w:p w14:paraId="7D5E0D0F" w14:textId="77777777" w:rsidR="005E64E5" w:rsidRPr="005E64E5" w:rsidRDefault="005E64E5" w:rsidP="005E64E5">
            <w:pPr>
              <w:rPr>
                <w:b/>
                <w:bCs/>
              </w:rPr>
            </w:pPr>
            <w:r w:rsidRPr="005E64E5">
              <w:rPr>
                <w:b/>
                <w:bCs/>
              </w:rPr>
              <w:t>Recommendation</w:t>
            </w:r>
          </w:p>
        </w:tc>
        <w:tc>
          <w:tcPr>
            <w:tcW w:w="0" w:type="auto"/>
            <w:tcMar>
              <w:top w:w="150" w:type="dxa"/>
              <w:left w:w="150" w:type="dxa"/>
              <w:bottom w:w="150" w:type="dxa"/>
              <w:right w:w="150" w:type="dxa"/>
            </w:tcMar>
            <w:vAlign w:val="center"/>
            <w:hideMark/>
          </w:tcPr>
          <w:p w14:paraId="1C28053E" w14:textId="77777777" w:rsidR="005E64E5" w:rsidRPr="005E64E5" w:rsidRDefault="005E64E5" w:rsidP="005E64E5">
            <w:pPr>
              <w:rPr>
                <w:b/>
                <w:bCs/>
              </w:rPr>
            </w:pPr>
            <w:r w:rsidRPr="005E64E5">
              <w:rPr>
                <w:b/>
                <w:bCs/>
              </w:rPr>
              <w:t>Framework Mapping</w:t>
            </w:r>
          </w:p>
        </w:tc>
        <w:tc>
          <w:tcPr>
            <w:tcW w:w="0" w:type="auto"/>
            <w:tcMar>
              <w:top w:w="150" w:type="dxa"/>
              <w:left w:w="150" w:type="dxa"/>
              <w:bottom w:w="150" w:type="dxa"/>
              <w:right w:w="150" w:type="dxa"/>
            </w:tcMar>
            <w:vAlign w:val="center"/>
            <w:hideMark/>
          </w:tcPr>
          <w:p w14:paraId="465DDAB0" w14:textId="77777777" w:rsidR="005E64E5" w:rsidRPr="005E64E5" w:rsidRDefault="005E64E5" w:rsidP="005E64E5">
            <w:pPr>
              <w:rPr>
                <w:b/>
                <w:bCs/>
              </w:rPr>
            </w:pPr>
            <w:r w:rsidRPr="005E64E5">
              <w:rPr>
                <w:b/>
                <w:bCs/>
              </w:rPr>
              <w:t>Timeline</w:t>
            </w:r>
          </w:p>
        </w:tc>
      </w:tr>
      <w:tr w:rsidR="005E64E5" w:rsidRPr="005E64E5" w14:paraId="4ED15757" w14:textId="77777777" w:rsidTr="001C1720">
        <w:tc>
          <w:tcPr>
            <w:tcW w:w="0" w:type="auto"/>
            <w:tcMar>
              <w:top w:w="150" w:type="dxa"/>
              <w:left w:w="0" w:type="dxa"/>
              <w:bottom w:w="150" w:type="dxa"/>
              <w:right w:w="150" w:type="dxa"/>
            </w:tcMar>
            <w:vAlign w:val="center"/>
            <w:hideMark/>
          </w:tcPr>
          <w:p w14:paraId="7B379AD0" w14:textId="77777777" w:rsidR="005E64E5" w:rsidRPr="005E64E5" w:rsidRDefault="005E64E5" w:rsidP="005E64E5">
            <w:r w:rsidRPr="005E64E5">
              <w:rPr>
                <w:b/>
                <w:bCs/>
              </w:rPr>
              <w:t>Critical</w:t>
            </w:r>
          </w:p>
        </w:tc>
        <w:tc>
          <w:tcPr>
            <w:tcW w:w="0" w:type="auto"/>
            <w:tcMar>
              <w:top w:w="150" w:type="dxa"/>
              <w:left w:w="150" w:type="dxa"/>
              <w:bottom w:w="150" w:type="dxa"/>
              <w:right w:w="150" w:type="dxa"/>
            </w:tcMar>
            <w:vAlign w:val="center"/>
            <w:hideMark/>
          </w:tcPr>
          <w:p w14:paraId="1F3B263C" w14:textId="77777777" w:rsidR="005E64E5" w:rsidRPr="005E64E5" w:rsidRDefault="005E64E5" w:rsidP="005E64E5">
            <w:r w:rsidRPr="005E64E5">
              <w:t>Establish a formalized and urgent patch management program.</w:t>
            </w:r>
          </w:p>
        </w:tc>
        <w:tc>
          <w:tcPr>
            <w:tcW w:w="0" w:type="auto"/>
            <w:tcMar>
              <w:top w:w="150" w:type="dxa"/>
              <w:left w:w="150" w:type="dxa"/>
              <w:bottom w:w="150" w:type="dxa"/>
              <w:right w:w="150" w:type="dxa"/>
            </w:tcMar>
            <w:vAlign w:val="center"/>
            <w:hideMark/>
          </w:tcPr>
          <w:p w14:paraId="3B368B43" w14:textId="77777777" w:rsidR="005E64E5" w:rsidRPr="005E64E5" w:rsidRDefault="005E64E5" w:rsidP="005E64E5">
            <w:r w:rsidRPr="005E64E5">
              <w:t xml:space="preserve">ISO 27001 A.8.8, NIST </w:t>
            </w:r>
            <w:proofErr w:type="gramStart"/>
            <w:r w:rsidRPr="005E64E5">
              <w:t>PR.IP</w:t>
            </w:r>
            <w:proofErr w:type="gramEnd"/>
            <w:r w:rsidRPr="005E64E5">
              <w:t>-12</w:t>
            </w:r>
          </w:p>
        </w:tc>
        <w:tc>
          <w:tcPr>
            <w:tcW w:w="0" w:type="auto"/>
            <w:tcMar>
              <w:top w:w="150" w:type="dxa"/>
              <w:left w:w="150" w:type="dxa"/>
              <w:bottom w:w="150" w:type="dxa"/>
              <w:right w:w="150" w:type="dxa"/>
            </w:tcMar>
            <w:vAlign w:val="center"/>
            <w:hideMark/>
          </w:tcPr>
          <w:p w14:paraId="36895D69" w14:textId="77777777" w:rsidR="005E64E5" w:rsidRPr="005E64E5" w:rsidRDefault="005E64E5" w:rsidP="005E64E5">
            <w:r w:rsidRPr="005E64E5">
              <w:t>Immediate (0-1 Week)</w:t>
            </w:r>
          </w:p>
        </w:tc>
      </w:tr>
      <w:tr w:rsidR="005E64E5" w:rsidRPr="005E64E5" w14:paraId="497B4BD8" w14:textId="77777777" w:rsidTr="001C1720">
        <w:tc>
          <w:tcPr>
            <w:tcW w:w="0" w:type="auto"/>
            <w:tcMar>
              <w:top w:w="150" w:type="dxa"/>
              <w:left w:w="0" w:type="dxa"/>
              <w:bottom w:w="150" w:type="dxa"/>
              <w:right w:w="150" w:type="dxa"/>
            </w:tcMar>
            <w:vAlign w:val="center"/>
            <w:hideMark/>
          </w:tcPr>
          <w:p w14:paraId="50108869" w14:textId="77777777" w:rsidR="005E64E5" w:rsidRPr="005E64E5" w:rsidRDefault="005E64E5" w:rsidP="005E64E5">
            <w:r w:rsidRPr="005E64E5">
              <w:rPr>
                <w:b/>
                <w:bCs/>
              </w:rPr>
              <w:t>Critical</w:t>
            </w:r>
          </w:p>
        </w:tc>
        <w:tc>
          <w:tcPr>
            <w:tcW w:w="0" w:type="auto"/>
            <w:tcMar>
              <w:top w:w="150" w:type="dxa"/>
              <w:left w:w="150" w:type="dxa"/>
              <w:bottom w:w="150" w:type="dxa"/>
              <w:right w:w="150" w:type="dxa"/>
            </w:tcMar>
            <w:vAlign w:val="center"/>
            <w:hideMark/>
          </w:tcPr>
          <w:p w14:paraId="254DFBE3" w14:textId="77777777" w:rsidR="005E64E5" w:rsidRPr="005E64E5" w:rsidRDefault="005E64E5" w:rsidP="005E64E5">
            <w:r w:rsidRPr="005E64E5">
              <w:t>Disable all unnecessary services (FTP, Telnet, RSH). Use secure alternatives (SSH, SFTP).</w:t>
            </w:r>
          </w:p>
        </w:tc>
        <w:tc>
          <w:tcPr>
            <w:tcW w:w="0" w:type="auto"/>
            <w:tcMar>
              <w:top w:w="150" w:type="dxa"/>
              <w:left w:w="150" w:type="dxa"/>
              <w:bottom w:w="150" w:type="dxa"/>
              <w:right w:w="150" w:type="dxa"/>
            </w:tcMar>
            <w:vAlign w:val="center"/>
            <w:hideMark/>
          </w:tcPr>
          <w:p w14:paraId="3BC501D7" w14:textId="77777777" w:rsidR="005E64E5" w:rsidRPr="005E64E5" w:rsidRDefault="005E64E5" w:rsidP="005E64E5">
            <w:r w:rsidRPr="005E64E5">
              <w:t>NIST PR.AC-5, GDPR Art. 32</w:t>
            </w:r>
          </w:p>
        </w:tc>
        <w:tc>
          <w:tcPr>
            <w:tcW w:w="0" w:type="auto"/>
            <w:tcMar>
              <w:top w:w="150" w:type="dxa"/>
              <w:left w:w="150" w:type="dxa"/>
              <w:bottom w:w="150" w:type="dxa"/>
              <w:right w:w="150" w:type="dxa"/>
            </w:tcMar>
            <w:vAlign w:val="center"/>
            <w:hideMark/>
          </w:tcPr>
          <w:p w14:paraId="0FE46ECC" w14:textId="77777777" w:rsidR="005E64E5" w:rsidRPr="005E64E5" w:rsidRDefault="005E64E5" w:rsidP="005E64E5">
            <w:r w:rsidRPr="005E64E5">
              <w:t>Immediate (0-1 Week)</w:t>
            </w:r>
          </w:p>
        </w:tc>
      </w:tr>
      <w:tr w:rsidR="005E64E5" w:rsidRPr="005E64E5" w14:paraId="58D6FD91" w14:textId="77777777" w:rsidTr="001C1720">
        <w:tc>
          <w:tcPr>
            <w:tcW w:w="0" w:type="auto"/>
            <w:tcMar>
              <w:top w:w="150" w:type="dxa"/>
              <w:left w:w="0" w:type="dxa"/>
              <w:bottom w:w="150" w:type="dxa"/>
              <w:right w:w="150" w:type="dxa"/>
            </w:tcMar>
            <w:vAlign w:val="center"/>
            <w:hideMark/>
          </w:tcPr>
          <w:p w14:paraId="1A197F1A" w14:textId="77777777" w:rsidR="005E64E5" w:rsidRPr="005E64E5" w:rsidRDefault="005E64E5" w:rsidP="005E64E5">
            <w:r w:rsidRPr="005E64E5">
              <w:rPr>
                <w:b/>
                <w:bCs/>
              </w:rPr>
              <w:t>High</w:t>
            </w:r>
          </w:p>
        </w:tc>
        <w:tc>
          <w:tcPr>
            <w:tcW w:w="0" w:type="auto"/>
            <w:tcMar>
              <w:top w:w="150" w:type="dxa"/>
              <w:left w:w="150" w:type="dxa"/>
              <w:bottom w:w="150" w:type="dxa"/>
              <w:right w:w="150" w:type="dxa"/>
            </w:tcMar>
            <w:vAlign w:val="center"/>
            <w:hideMark/>
          </w:tcPr>
          <w:p w14:paraId="5F2DD5EB" w14:textId="77777777" w:rsidR="005E64E5" w:rsidRPr="005E64E5" w:rsidRDefault="005E64E5" w:rsidP="005E64E5">
            <w:r w:rsidRPr="005E64E5">
              <w:t>Implement network segmentation to isolate sensitive databases and servers.</w:t>
            </w:r>
          </w:p>
        </w:tc>
        <w:tc>
          <w:tcPr>
            <w:tcW w:w="0" w:type="auto"/>
            <w:tcMar>
              <w:top w:w="150" w:type="dxa"/>
              <w:left w:w="150" w:type="dxa"/>
              <w:bottom w:w="150" w:type="dxa"/>
              <w:right w:w="150" w:type="dxa"/>
            </w:tcMar>
            <w:vAlign w:val="center"/>
            <w:hideMark/>
          </w:tcPr>
          <w:p w14:paraId="7C749187" w14:textId="77777777" w:rsidR="005E64E5" w:rsidRPr="005E64E5" w:rsidRDefault="005E64E5" w:rsidP="005E64E5">
            <w:r w:rsidRPr="005E64E5">
              <w:t>NIST PR.AC-5, ISO 27001 A.8.22</w:t>
            </w:r>
          </w:p>
        </w:tc>
        <w:tc>
          <w:tcPr>
            <w:tcW w:w="0" w:type="auto"/>
            <w:tcMar>
              <w:top w:w="150" w:type="dxa"/>
              <w:left w:w="150" w:type="dxa"/>
              <w:bottom w:w="150" w:type="dxa"/>
              <w:right w:w="150" w:type="dxa"/>
            </w:tcMar>
            <w:vAlign w:val="center"/>
            <w:hideMark/>
          </w:tcPr>
          <w:p w14:paraId="1EFFDD3C" w14:textId="77777777" w:rsidR="005E64E5" w:rsidRPr="005E64E5" w:rsidRDefault="005E64E5" w:rsidP="005E64E5">
            <w:r w:rsidRPr="005E64E5">
              <w:t>Short-Term (1-2 Weeks)</w:t>
            </w:r>
          </w:p>
        </w:tc>
      </w:tr>
      <w:tr w:rsidR="005E64E5" w:rsidRPr="005E64E5" w14:paraId="4F548FB1" w14:textId="77777777" w:rsidTr="001C1720">
        <w:tc>
          <w:tcPr>
            <w:tcW w:w="0" w:type="auto"/>
            <w:tcMar>
              <w:top w:w="150" w:type="dxa"/>
              <w:left w:w="0" w:type="dxa"/>
              <w:bottom w:w="150" w:type="dxa"/>
              <w:right w:w="150" w:type="dxa"/>
            </w:tcMar>
            <w:vAlign w:val="center"/>
            <w:hideMark/>
          </w:tcPr>
          <w:p w14:paraId="4ACA9B69" w14:textId="77777777" w:rsidR="005E64E5" w:rsidRPr="005E64E5" w:rsidRDefault="005E64E5" w:rsidP="005E64E5">
            <w:r w:rsidRPr="005E64E5">
              <w:rPr>
                <w:b/>
                <w:bCs/>
              </w:rPr>
              <w:t>High</w:t>
            </w:r>
          </w:p>
        </w:tc>
        <w:tc>
          <w:tcPr>
            <w:tcW w:w="0" w:type="auto"/>
            <w:tcMar>
              <w:top w:w="150" w:type="dxa"/>
              <w:left w:w="150" w:type="dxa"/>
              <w:bottom w:w="150" w:type="dxa"/>
              <w:right w:w="150" w:type="dxa"/>
            </w:tcMar>
            <w:vAlign w:val="center"/>
            <w:hideMark/>
          </w:tcPr>
          <w:p w14:paraId="59B8EF06" w14:textId="2E262802" w:rsidR="005E64E5" w:rsidRPr="005E64E5" w:rsidRDefault="005E64E5" w:rsidP="005E64E5">
            <w:r w:rsidRPr="005E64E5">
              <w:t xml:space="preserve">Deploy an Intrusion Detection System (IDS) like Snort and a SIEM for log </w:t>
            </w:r>
            <w:proofErr w:type="gramStart"/>
            <w:r w:rsidRPr="005E64E5">
              <w:t>monitoring</w:t>
            </w:r>
            <w:r w:rsidR="005D7D35">
              <w:t>(</w:t>
            </w:r>
            <w:proofErr w:type="gramEnd"/>
            <w:r w:rsidR="005D7D35">
              <w:t>Splunk)</w:t>
            </w:r>
            <w:r w:rsidRPr="005E64E5">
              <w:t>.</w:t>
            </w:r>
          </w:p>
        </w:tc>
        <w:tc>
          <w:tcPr>
            <w:tcW w:w="0" w:type="auto"/>
            <w:tcMar>
              <w:top w:w="150" w:type="dxa"/>
              <w:left w:w="150" w:type="dxa"/>
              <w:bottom w:w="150" w:type="dxa"/>
              <w:right w:w="150" w:type="dxa"/>
            </w:tcMar>
            <w:vAlign w:val="center"/>
            <w:hideMark/>
          </w:tcPr>
          <w:p w14:paraId="26B697E4" w14:textId="77777777" w:rsidR="005E64E5" w:rsidRPr="005E64E5" w:rsidRDefault="005E64E5" w:rsidP="005E64E5">
            <w:r w:rsidRPr="005E64E5">
              <w:t>ISO 27001 A.8.16, NIST DE.CM-1</w:t>
            </w:r>
          </w:p>
        </w:tc>
        <w:tc>
          <w:tcPr>
            <w:tcW w:w="0" w:type="auto"/>
            <w:tcMar>
              <w:top w:w="150" w:type="dxa"/>
              <w:left w:w="150" w:type="dxa"/>
              <w:bottom w:w="150" w:type="dxa"/>
              <w:right w:w="150" w:type="dxa"/>
            </w:tcMar>
            <w:vAlign w:val="center"/>
            <w:hideMark/>
          </w:tcPr>
          <w:p w14:paraId="45EDD015" w14:textId="77777777" w:rsidR="005E64E5" w:rsidRPr="005E64E5" w:rsidRDefault="005E64E5" w:rsidP="005E64E5">
            <w:r w:rsidRPr="005E64E5">
              <w:t>Medium-Term (2-4 Weeks)</w:t>
            </w:r>
          </w:p>
        </w:tc>
      </w:tr>
      <w:tr w:rsidR="005E64E5" w:rsidRPr="005E64E5" w14:paraId="3CC3AFD1" w14:textId="77777777" w:rsidTr="001C1720">
        <w:tc>
          <w:tcPr>
            <w:tcW w:w="0" w:type="auto"/>
            <w:tcMar>
              <w:top w:w="150" w:type="dxa"/>
              <w:left w:w="0" w:type="dxa"/>
              <w:bottom w:w="150" w:type="dxa"/>
              <w:right w:w="150" w:type="dxa"/>
            </w:tcMar>
            <w:vAlign w:val="center"/>
            <w:hideMark/>
          </w:tcPr>
          <w:p w14:paraId="7A195FE0" w14:textId="77777777" w:rsidR="005E64E5" w:rsidRPr="005E64E5" w:rsidRDefault="005E64E5" w:rsidP="005E64E5">
            <w:r w:rsidRPr="005E64E5">
              <w:rPr>
                <w:b/>
                <w:bCs/>
              </w:rPr>
              <w:lastRenderedPageBreak/>
              <w:t>Medium</w:t>
            </w:r>
          </w:p>
        </w:tc>
        <w:tc>
          <w:tcPr>
            <w:tcW w:w="0" w:type="auto"/>
            <w:tcMar>
              <w:top w:w="150" w:type="dxa"/>
              <w:left w:w="150" w:type="dxa"/>
              <w:bottom w:w="150" w:type="dxa"/>
              <w:right w:w="150" w:type="dxa"/>
            </w:tcMar>
            <w:vAlign w:val="center"/>
            <w:hideMark/>
          </w:tcPr>
          <w:p w14:paraId="3A8007C4" w14:textId="77777777" w:rsidR="005E64E5" w:rsidRPr="005E64E5" w:rsidRDefault="005E64E5" w:rsidP="005E64E5">
            <w:r w:rsidRPr="005E64E5">
              <w:t>Conduct mandatory annual security awareness training for all staff.</w:t>
            </w:r>
          </w:p>
        </w:tc>
        <w:tc>
          <w:tcPr>
            <w:tcW w:w="0" w:type="auto"/>
            <w:tcMar>
              <w:top w:w="150" w:type="dxa"/>
              <w:left w:w="150" w:type="dxa"/>
              <w:bottom w:w="150" w:type="dxa"/>
              <w:right w:w="150" w:type="dxa"/>
            </w:tcMar>
            <w:vAlign w:val="center"/>
            <w:hideMark/>
          </w:tcPr>
          <w:p w14:paraId="5CB6B98D" w14:textId="77777777" w:rsidR="005E64E5" w:rsidRPr="005E64E5" w:rsidRDefault="005E64E5" w:rsidP="005E64E5">
            <w:r w:rsidRPr="005E64E5">
              <w:t>ISO 27001 A.6.3, NIST PR.AT-1</w:t>
            </w:r>
          </w:p>
        </w:tc>
        <w:tc>
          <w:tcPr>
            <w:tcW w:w="0" w:type="auto"/>
            <w:tcMar>
              <w:top w:w="150" w:type="dxa"/>
              <w:left w:w="150" w:type="dxa"/>
              <w:bottom w:w="150" w:type="dxa"/>
              <w:right w:w="150" w:type="dxa"/>
            </w:tcMar>
            <w:vAlign w:val="center"/>
            <w:hideMark/>
          </w:tcPr>
          <w:p w14:paraId="68F93DC5" w14:textId="2ACB87C1" w:rsidR="005E64E5" w:rsidRPr="005E64E5" w:rsidRDefault="005E64E5" w:rsidP="005E64E5">
            <w:r w:rsidRPr="005E64E5">
              <w:t xml:space="preserve">Ongoing / </w:t>
            </w:r>
            <w:r w:rsidR="00AC3FDF">
              <w:t>Bi-a</w:t>
            </w:r>
            <w:r w:rsidRPr="005E64E5">
              <w:t>nnual</w:t>
            </w:r>
          </w:p>
        </w:tc>
      </w:tr>
      <w:tr w:rsidR="005E64E5" w:rsidRPr="005E64E5" w14:paraId="175B1614" w14:textId="77777777" w:rsidTr="001C1720">
        <w:tc>
          <w:tcPr>
            <w:tcW w:w="0" w:type="auto"/>
            <w:tcMar>
              <w:top w:w="150" w:type="dxa"/>
              <w:left w:w="0" w:type="dxa"/>
              <w:bottom w:w="150" w:type="dxa"/>
              <w:right w:w="150" w:type="dxa"/>
            </w:tcMar>
            <w:vAlign w:val="center"/>
            <w:hideMark/>
          </w:tcPr>
          <w:p w14:paraId="3A3CCB6E" w14:textId="77777777" w:rsidR="005E64E5" w:rsidRPr="005E64E5" w:rsidRDefault="005E64E5" w:rsidP="005E64E5">
            <w:r w:rsidRPr="005E64E5">
              <w:rPr>
                <w:b/>
                <w:bCs/>
              </w:rPr>
              <w:t>Strategic</w:t>
            </w:r>
          </w:p>
        </w:tc>
        <w:tc>
          <w:tcPr>
            <w:tcW w:w="0" w:type="auto"/>
            <w:tcMar>
              <w:top w:w="150" w:type="dxa"/>
              <w:left w:w="150" w:type="dxa"/>
              <w:bottom w:w="150" w:type="dxa"/>
              <w:right w:w="150" w:type="dxa"/>
            </w:tcMar>
            <w:vAlign w:val="center"/>
            <w:hideMark/>
          </w:tcPr>
          <w:p w14:paraId="49550105" w14:textId="77777777" w:rsidR="005E64E5" w:rsidRPr="005E64E5" w:rsidRDefault="005E64E5" w:rsidP="005E64E5">
            <w:r w:rsidRPr="005E64E5">
              <w:t>Achieve ISO 27001 certification to demonstrate a commitment to international best practices.</w:t>
            </w:r>
          </w:p>
        </w:tc>
        <w:tc>
          <w:tcPr>
            <w:tcW w:w="0" w:type="auto"/>
            <w:tcMar>
              <w:top w:w="150" w:type="dxa"/>
              <w:left w:w="150" w:type="dxa"/>
              <w:bottom w:w="150" w:type="dxa"/>
              <w:right w:w="150" w:type="dxa"/>
            </w:tcMar>
            <w:vAlign w:val="center"/>
            <w:hideMark/>
          </w:tcPr>
          <w:p w14:paraId="5D14F049" w14:textId="77777777" w:rsidR="005E64E5" w:rsidRPr="005E64E5" w:rsidRDefault="005E64E5" w:rsidP="005E64E5">
            <w:r w:rsidRPr="005E64E5">
              <w:t>ISO 27001, GDPR Art. 32</w:t>
            </w:r>
          </w:p>
        </w:tc>
        <w:tc>
          <w:tcPr>
            <w:tcW w:w="0" w:type="auto"/>
            <w:tcMar>
              <w:top w:w="150" w:type="dxa"/>
              <w:left w:w="150" w:type="dxa"/>
              <w:bottom w:w="150" w:type="dxa"/>
              <w:right w:w="150" w:type="dxa"/>
            </w:tcMar>
            <w:vAlign w:val="center"/>
            <w:hideMark/>
          </w:tcPr>
          <w:p w14:paraId="075307B3" w14:textId="77777777" w:rsidR="005E64E5" w:rsidRPr="005E64E5" w:rsidRDefault="005E64E5" w:rsidP="005E64E5">
            <w:r w:rsidRPr="005E64E5">
              <w:t>Long-Term (6-12 Months)</w:t>
            </w:r>
          </w:p>
        </w:tc>
      </w:tr>
    </w:tbl>
    <w:p w14:paraId="6A19700D" w14:textId="77777777" w:rsidR="005E64E5" w:rsidRDefault="005E64E5"/>
    <w:p w14:paraId="60CC0E4B" w14:textId="77777777" w:rsidR="005E64E5" w:rsidRPr="005E64E5" w:rsidRDefault="005E64E5" w:rsidP="005E64E5">
      <w:r w:rsidRPr="005E64E5">
        <w:rPr>
          <w:b/>
          <w:bCs/>
        </w:rPr>
        <w:t>7. Conclusion</w:t>
      </w:r>
    </w:p>
    <w:p w14:paraId="0F4D3508" w14:textId="3B24958A" w:rsidR="005E64E5" w:rsidRPr="005E64E5" w:rsidRDefault="005E64E5" w:rsidP="005E64E5">
      <w:r w:rsidRPr="005E64E5">
        <w:t xml:space="preserve">The simulated environment exposed critical risks that are unfortunately common in real-world scenarios. This report provides a clear and actionable path </w:t>
      </w:r>
      <w:r w:rsidR="00CB6ABE">
        <w:t xml:space="preserve">going </w:t>
      </w:r>
      <w:r w:rsidRPr="005E64E5">
        <w:t>forward. By diligently executing the outlined implementation plan and adhering to the proposed governance policies, the Nigerian Government Healthcare Agency can significantly reduce its attack surface, protect the sensitive health data of its citizens, and achieve demonstrable compliance with stringent national and international regulations. Continuous vigilance, executive oversight, and a culture of security are paramount for long-term success.</w:t>
      </w:r>
    </w:p>
    <w:p w14:paraId="1FF828F5" w14:textId="77777777" w:rsidR="005E64E5" w:rsidRPr="005E64E5" w:rsidRDefault="00000000" w:rsidP="005E64E5">
      <w:r>
        <w:pict w14:anchorId="09A8091F">
          <v:rect id="_x0000_i1026" style="width:0;height:.75pt" o:hralign="center" o:hrstd="t" o:hrnoshade="t" o:hr="t" fillcolor="#404040" stroked="f"/>
        </w:pict>
      </w:r>
    </w:p>
    <w:sectPr w:rsidR="005E64E5" w:rsidRPr="005E6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470CD"/>
    <w:multiLevelType w:val="multilevel"/>
    <w:tmpl w:val="777C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53322"/>
    <w:multiLevelType w:val="multilevel"/>
    <w:tmpl w:val="9E20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32A40"/>
    <w:multiLevelType w:val="multilevel"/>
    <w:tmpl w:val="36C4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B0762"/>
    <w:multiLevelType w:val="multilevel"/>
    <w:tmpl w:val="E7D8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F2142"/>
    <w:multiLevelType w:val="multilevel"/>
    <w:tmpl w:val="1C0E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2775D"/>
    <w:multiLevelType w:val="multilevel"/>
    <w:tmpl w:val="19E6E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5E4060"/>
    <w:multiLevelType w:val="multilevel"/>
    <w:tmpl w:val="A52CF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11F91"/>
    <w:multiLevelType w:val="multilevel"/>
    <w:tmpl w:val="49E0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42507"/>
    <w:multiLevelType w:val="multilevel"/>
    <w:tmpl w:val="8452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E2BFA"/>
    <w:multiLevelType w:val="multilevel"/>
    <w:tmpl w:val="7C26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21191"/>
    <w:multiLevelType w:val="multilevel"/>
    <w:tmpl w:val="13AE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87979"/>
    <w:multiLevelType w:val="multilevel"/>
    <w:tmpl w:val="C366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B46AB"/>
    <w:multiLevelType w:val="multilevel"/>
    <w:tmpl w:val="A596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290176"/>
    <w:multiLevelType w:val="multilevel"/>
    <w:tmpl w:val="931C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2405B"/>
    <w:multiLevelType w:val="multilevel"/>
    <w:tmpl w:val="4116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D46D46"/>
    <w:multiLevelType w:val="multilevel"/>
    <w:tmpl w:val="B218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9B17C2"/>
    <w:multiLevelType w:val="multilevel"/>
    <w:tmpl w:val="33C0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284D05"/>
    <w:multiLevelType w:val="multilevel"/>
    <w:tmpl w:val="0790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75382C"/>
    <w:multiLevelType w:val="multilevel"/>
    <w:tmpl w:val="69C8A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567BC6"/>
    <w:multiLevelType w:val="multilevel"/>
    <w:tmpl w:val="56E8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496A9A"/>
    <w:multiLevelType w:val="multilevel"/>
    <w:tmpl w:val="C2C8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3400962">
    <w:abstractNumId w:val="18"/>
  </w:num>
  <w:num w:numId="2" w16cid:durableId="2095013030">
    <w:abstractNumId w:val="4"/>
  </w:num>
  <w:num w:numId="3" w16cid:durableId="1092774462">
    <w:abstractNumId w:val="6"/>
  </w:num>
  <w:num w:numId="4" w16cid:durableId="1953784430">
    <w:abstractNumId w:val="14"/>
  </w:num>
  <w:num w:numId="5" w16cid:durableId="989945394">
    <w:abstractNumId w:val="19"/>
  </w:num>
  <w:num w:numId="6" w16cid:durableId="462582332">
    <w:abstractNumId w:val="20"/>
  </w:num>
  <w:num w:numId="7" w16cid:durableId="1983075478">
    <w:abstractNumId w:val="11"/>
  </w:num>
  <w:num w:numId="8" w16cid:durableId="400494128">
    <w:abstractNumId w:val="12"/>
  </w:num>
  <w:num w:numId="9" w16cid:durableId="1416979452">
    <w:abstractNumId w:val="0"/>
  </w:num>
  <w:num w:numId="10" w16cid:durableId="1347975968">
    <w:abstractNumId w:val="3"/>
  </w:num>
  <w:num w:numId="11" w16cid:durableId="1273396406">
    <w:abstractNumId w:val="9"/>
  </w:num>
  <w:num w:numId="12" w16cid:durableId="973103027">
    <w:abstractNumId w:val="8"/>
  </w:num>
  <w:num w:numId="13" w16cid:durableId="1746105764">
    <w:abstractNumId w:val="7"/>
  </w:num>
  <w:num w:numId="14" w16cid:durableId="19090369">
    <w:abstractNumId w:val="15"/>
  </w:num>
  <w:num w:numId="15" w16cid:durableId="1288118934">
    <w:abstractNumId w:val="16"/>
  </w:num>
  <w:num w:numId="16" w16cid:durableId="1158037207">
    <w:abstractNumId w:val="5"/>
  </w:num>
  <w:num w:numId="17" w16cid:durableId="1162156985">
    <w:abstractNumId w:val="1"/>
  </w:num>
  <w:num w:numId="18" w16cid:durableId="1215195597">
    <w:abstractNumId w:val="13"/>
  </w:num>
  <w:num w:numId="19" w16cid:durableId="1653605539">
    <w:abstractNumId w:val="10"/>
  </w:num>
  <w:num w:numId="20" w16cid:durableId="1829780472">
    <w:abstractNumId w:val="2"/>
  </w:num>
  <w:num w:numId="21" w16cid:durableId="18392282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4E5"/>
    <w:rsid w:val="000B56D3"/>
    <w:rsid w:val="00122ECD"/>
    <w:rsid w:val="00192D98"/>
    <w:rsid w:val="001C1720"/>
    <w:rsid w:val="001D524C"/>
    <w:rsid w:val="00227C70"/>
    <w:rsid w:val="0027312D"/>
    <w:rsid w:val="002A7342"/>
    <w:rsid w:val="003514A7"/>
    <w:rsid w:val="00371E45"/>
    <w:rsid w:val="003804BB"/>
    <w:rsid w:val="005A2FA9"/>
    <w:rsid w:val="005D7D35"/>
    <w:rsid w:val="005E64E5"/>
    <w:rsid w:val="00664F4F"/>
    <w:rsid w:val="00672D67"/>
    <w:rsid w:val="0069178F"/>
    <w:rsid w:val="006A7298"/>
    <w:rsid w:val="006E29B2"/>
    <w:rsid w:val="008038C5"/>
    <w:rsid w:val="00816293"/>
    <w:rsid w:val="00897A15"/>
    <w:rsid w:val="008B727D"/>
    <w:rsid w:val="008F5E3B"/>
    <w:rsid w:val="00911643"/>
    <w:rsid w:val="009326B3"/>
    <w:rsid w:val="00965BAF"/>
    <w:rsid w:val="00980B40"/>
    <w:rsid w:val="009C7A11"/>
    <w:rsid w:val="00A5042E"/>
    <w:rsid w:val="00A71C0E"/>
    <w:rsid w:val="00AC3FDF"/>
    <w:rsid w:val="00C85719"/>
    <w:rsid w:val="00CB6ABE"/>
    <w:rsid w:val="00CC4F01"/>
    <w:rsid w:val="00CC77AF"/>
    <w:rsid w:val="00DC4495"/>
    <w:rsid w:val="00DF5353"/>
    <w:rsid w:val="00E1362D"/>
    <w:rsid w:val="00ED0239"/>
    <w:rsid w:val="00F35139"/>
    <w:rsid w:val="00F9109A"/>
    <w:rsid w:val="00FA4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F8E9F"/>
  <w15:chartTrackingRefBased/>
  <w15:docId w15:val="{A6EBF1DA-2332-4B6B-BA7B-DAD8585F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4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64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64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64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64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4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4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4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4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4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64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64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64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64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4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4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4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4E5"/>
    <w:rPr>
      <w:rFonts w:eastAsiaTheme="majorEastAsia" w:cstheme="majorBidi"/>
      <w:color w:val="272727" w:themeColor="text1" w:themeTint="D8"/>
    </w:rPr>
  </w:style>
  <w:style w:type="paragraph" w:styleId="Title">
    <w:name w:val="Title"/>
    <w:basedOn w:val="Normal"/>
    <w:next w:val="Normal"/>
    <w:link w:val="TitleChar"/>
    <w:uiPriority w:val="10"/>
    <w:qFormat/>
    <w:rsid w:val="005E64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4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4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4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4E5"/>
    <w:pPr>
      <w:spacing w:before="160"/>
      <w:jc w:val="center"/>
    </w:pPr>
    <w:rPr>
      <w:i/>
      <w:iCs/>
      <w:color w:val="404040" w:themeColor="text1" w:themeTint="BF"/>
    </w:rPr>
  </w:style>
  <w:style w:type="character" w:customStyle="1" w:styleId="QuoteChar">
    <w:name w:val="Quote Char"/>
    <w:basedOn w:val="DefaultParagraphFont"/>
    <w:link w:val="Quote"/>
    <w:uiPriority w:val="29"/>
    <w:rsid w:val="005E64E5"/>
    <w:rPr>
      <w:i/>
      <w:iCs/>
      <w:color w:val="404040" w:themeColor="text1" w:themeTint="BF"/>
    </w:rPr>
  </w:style>
  <w:style w:type="paragraph" w:styleId="ListParagraph">
    <w:name w:val="List Paragraph"/>
    <w:basedOn w:val="Normal"/>
    <w:uiPriority w:val="34"/>
    <w:qFormat/>
    <w:rsid w:val="005E64E5"/>
    <w:pPr>
      <w:ind w:left="720"/>
      <w:contextualSpacing/>
    </w:pPr>
  </w:style>
  <w:style w:type="character" w:styleId="IntenseEmphasis">
    <w:name w:val="Intense Emphasis"/>
    <w:basedOn w:val="DefaultParagraphFont"/>
    <w:uiPriority w:val="21"/>
    <w:qFormat/>
    <w:rsid w:val="005E64E5"/>
    <w:rPr>
      <w:i/>
      <w:iCs/>
      <w:color w:val="0F4761" w:themeColor="accent1" w:themeShade="BF"/>
    </w:rPr>
  </w:style>
  <w:style w:type="paragraph" w:styleId="IntenseQuote">
    <w:name w:val="Intense Quote"/>
    <w:basedOn w:val="Normal"/>
    <w:next w:val="Normal"/>
    <w:link w:val="IntenseQuoteChar"/>
    <w:uiPriority w:val="30"/>
    <w:qFormat/>
    <w:rsid w:val="005E64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4E5"/>
    <w:rPr>
      <w:i/>
      <w:iCs/>
      <w:color w:val="0F4761" w:themeColor="accent1" w:themeShade="BF"/>
    </w:rPr>
  </w:style>
  <w:style w:type="character" w:styleId="IntenseReference">
    <w:name w:val="Intense Reference"/>
    <w:basedOn w:val="DefaultParagraphFont"/>
    <w:uiPriority w:val="32"/>
    <w:qFormat/>
    <w:rsid w:val="005E64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2395</TotalTime>
  <Pages>7</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Nkemjika Omazi</dc:creator>
  <cp:keywords/>
  <dc:description/>
  <cp:lastModifiedBy>Nkemjika Omazi</cp:lastModifiedBy>
  <cp:revision>20</cp:revision>
  <dcterms:created xsi:type="dcterms:W3CDTF">2025-08-31T07:06:00Z</dcterms:created>
  <dcterms:modified xsi:type="dcterms:W3CDTF">2025-09-07T13:55:00Z</dcterms:modified>
</cp:coreProperties>
</file>