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</w:p>
    <w:p>
      <w:pPr>
        <w:spacing w:after="300"/>
      </w:pPr>
      <w:r>
        <w:rPr>
          <w:rFonts w:ascii="Segoe UI" w:hAnsi="Segoe UI"/>
          <w:b/>
          <w:color w:val="1B365D"/>
          <w:sz w:val="24"/>
        </w:rPr>
        <w:t>UNIVERSITY OF GHANA</w:t>
        <w:br/>
        <w:t>DEPARTMENT OF COMPUTER SCIENCE</w:t>
      </w:r>
    </w:p>
    <w:p>
      <w:pPr>
        <w:spacing w:after="600"/>
      </w:pPr>
      <w:r>
        <w:rPr>
          <w:rFonts w:ascii="Segoe UI" w:hAnsi="Segoe UI"/>
          <w:b/>
          <w:color w:val="0066CC"/>
          <w:sz w:val="20"/>
        </w:rPr>
        <w:t>CSCD602: ADVANCE SOFTWARE DEVELOPMENT — CAPSTONE PROJECT</w:t>
      </w:r>
    </w:p>
    <w:p>
      <w:pPr>
        <w:spacing w:after="200"/>
      </w:pPr>
      <w:r>
        <w:rPr>
          <w:rFonts w:ascii="Segoe UI" w:hAnsi="Segoe UI"/>
          <w:b/>
          <w:color w:val="1B365D"/>
          <w:sz w:val="48"/>
        </w:rPr>
        <w:t>System Analysis &amp; Design Documentation</w:t>
      </w:r>
    </w:p>
    <w:p>
      <w:pPr>
        <w:spacing w:after="1000"/>
      </w:pPr>
      <w:r>
        <w:rPr>
          <w:rFonts w:ascii="Segoe UI" w:hAnsi="Segoe UI"/>
          <w:i/>
          <w:color w:val="333333"/>
          <w:sz w:val="25"/>
        </w:rPr>
        <w:t>Architectural style, sequence flows, database ER model, and component designs for HealthEasy-G.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Project Name: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HealthEasy-G Hospital Management System (HMS)</w:t>
            </w:r>
          </w:p>
        </w:tc>
      </w:tr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Group Name / ID: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Architects (Group 1)</w:t>
            </w:r>
          </w:p>
        </w:tc>
      </w:tr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Live Application: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https://healtheasy-g.vercel.app</w:t>
            </w:r>
          </w:p>
        </w:tc>
      </w:tr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GitHub Repository: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https://github.com/NketiaAsubontengErnest/HealthEasy-G</w:t>
            </w:r>
          </w:p>
        </w:tc>
      </w:tr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Submission Date: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August 2026</w:t>
            </w:r>
          </w:p>
        </w:tc>
      </w:tr>
    </w:tbl>
    <w:p>
      <w:r>
        <w:br w:type="page"/>
      </w:r>
    </w:p>
    <w:p>
      <w:pPr>
        <w:keepNext/>
        <w:spacing w:before="320" w:after="120"/>
      </w:pPr>
      <w:r>
        <w:rPr>
          <w:rFonts w:ascii="Segoe UI" w:hAnsi="Segoe UI"/>
          <w:b/>
          <w:color w:val="1B365D"/>
          <w:sz w:val="32"/>
        </w:rPr>
        <w:t>1. Architecture Overview</w:t>
      </w:r>
    </w:p>
    <w:p>
      <w:pPr>
        <w:spacing w:after="100" w:line="276" w:lineRule="auto"/>
      </w:pPr>
      <w:r>
        <w:rPr>
          <w:rFonts w:ascii="Segoe UI" w:hAnsi="Segoe UI"/>
          <w:i w:val="0"/>
          <w:color w:val="333333"/>
          <w:sz w:val="20"/>
        </w:rPr>
        <w:t>HealthEasy-G follows a layered architecture deployed via a modern serverless model. Built on Next.js 16 App Router, presentation (React Server Components) and application logic (Route Handlers) run in one unified execution context, backed by PostgreSQL and Prisma ORM.</w:t>
      </w:r>
    </w:p>
    <w:p>
      <w:pPr>
        <w:keepNext/>
        <w:spacing w:before="320" w:after="120"/>
      </w:pPr>
      <w:r>
        <w:rPr>
          <w:rFonts w:ascii="Segoe UI" w:hAnsi="Segoe UI"/>
          <w:b/>
          <w:color w:val="1B365D"/>
          <w:sz w:val="32"/>
        </w:rPr>
        <w:t>2. Group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76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type="dxa" w:w="259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Student Name</w:t>
            </w:r>
          </w:p>
        </w:tc>
        <w:tc>
          <w:tcPr>
            <w:tcW w:type="dxa" w:w="1296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Student ID</w:t>
            </w:r>
          </w:p>
        </w:tc>
        <w:tc>
          <w:tcPr>
            <w:tcW w:type="dxa" w:w="4896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Major Technical Contribution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Ernest Nketia Asubonteng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22424715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Lead System Architect, Server Security, Prisma Schema &amp; AI Integrator</w:t>
            </w:r>
          </w:p>
        </w:tc>
      </w:tr>
      <w:tr>
        <w:tc>
          <w:tcPr>
            <w:tcW w:type="dxa" w:w="57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Nana Kwabena Asare</w:t>
            </w:r>
          </w:p>
        </w:tc>
        <w:tc>
          <w:tcPr>
            <w:tcW w:type="dxa" w:w="12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22424817</w:t>
            </w:r>
          </w:p>
        </w:tc>
        <w:tc>
          <w:tcPr>
            <w:tcW w:type="dxa" w:w="48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Clinical EMR Module, ICD-10 Coding Engine &amp; Consultation Workflows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Casper Kosi Asense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22425080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Master Patient Index (MPI), Ghana Card Identity &amp; NHIS Validation</w:t>
            </w:r>
          </w:p>
        </w:tc>
      </w:tr>
      <w:tr>
        <w:tc>
          <w:tcPr>
            <w:tcW w:type="dxa" w:w="57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4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Richard Gyebi</w:t>
            </w:r>
          </w:p>
        </w:tc>
        <w:tc>
          <w:tcPr>
            <w:tcW w:type="dxa" w:w="12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22424822</w:t>
            </w:r>
          </w:p>
        </w:tc>
        <w:tc>
          <w:tcPr>
            <w:tcW w:type="dxa" w:w="48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Revenue Collection, Cashier Ledger, Invoicing &amp; NHIS G-DRG Claims Engine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5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Aubrey Owusu Amoah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22424666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PACS Diagnostic Radiology Orders &amp; Radiologist Workstation Interfaces</w:t>
            </w:r>
          </w:p>
        </w:tc>
      </w:tr>
      <w:tr>
        <w:tc>
          <w:tcPr>
            <w:tcW w:type="dxa" w:w="57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6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Thomas Nii Armah Okai</w:t>
            </w:r>
          </w:p>
        </w:tc>
        <w:tc>
          <w:tcPr>
            <w:tcW w:type="dxa" w:w="12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22425782</w:t>
            </w:r>
          </w:p>
        </w:tc>
        <w:tc>
          <w:tcPr>
            <w:tcW w:type="dxa" w:w="48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Pharmacy FEFO Batch Inventory Management &amp; Medication Dispensing Engine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7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Abubakari Zubeiru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22425115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Inpatient Bed Board, ADT Transfers, MAR &amp; DPC Audit Log Infrastructure</w:t>
            </w:r>
          </w:p>
        </w:tc>
      </w:tr>
      <w:tr>
        <w:tc>
          <w:tcPr>
            <w:tcW w:type="dxa" w:w="57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8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Frank Tandoh</w:t>
            </w:r>
          </w:p>
        </w:tc>
        <w:tc>
          <w:tcPr>
            <w:tcW w:type="dxa" w:w="12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22425049</w:t>
            </w:r>
          </w:p>
        </w:tc>
        <w:tc>
          <w:tcPr>
            <w:tcW w:type="dxa" w:w="48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Responsive Design System, Accessibility Standards &amp; UI Component Architecture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Segoe UI" w:hAnsi="Segoe UI"/>
          <w:b/>
          <w:color w:val="1B365D"/>
          <w:sz w:val="32"/>
        </w:rPr>
        <w:t>3. Core Architectural Principles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333333"/>
          <w:sz w:val="20"/>
        </w:rPr>
        <w:t xml:space="preserve">1. Server-Only Authority: </w:t>
      </w:r>
      <w:r>
        <w:rPr>
          <w:rFonts w:ascii="Segoe UI" w:hAnsi="Segoe UI"/>
          <w:color w:val="333333"/>
          <w:sz w:val="20"/>
        </w:rPr>
        <w:t>Identity, role, and permissions are verified on the server from signed session cookies. Browser assertions are never trusted.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333333"/>
          <w:sz w:val="20"/>
        </w:rPr>
        <w:t xml:space="preserve">2. Single Boundary per Concern: </w:t>
      </w:r>
      <w:r>
        <w:rPr>
          <w:rFonts w:ascii="Segoe UI" w:hAnsi="Segoe UI"/>
          <w:color w:val="333333"/>
          <w:sz w:val="20"/>
        </w:rPr>
        <w:t>Access policy is declared in `api-policy.ts`. Shape conversion occurs in `adapters.ts`. Date normalisation occurs in `dates.ts`.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333333"/>
          <w:sz w:val="20"/>
        </w:rPr>
        <w:t xml:space="preserve">3. Fail-Closed Security: </w:t>
      </w:r>
      <w:r>
        <w:rPr>
          <w:rFonts w:ascii="Segoe UI" w:hAnsi="Segoe UI"/>
          <w:color w:val="333333"/>
          <w:sz w:val="20"/>
        </w:rPr>
        <w:t>Undeclared routes default to DENY. Unknown enums map to safe defaults.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333333"/>
          <w:sz w:val="20"/>
        </w:rPr>
        <w:t xml:space="preserve">4. Derive Rather Than Store: </w:t>
      </w:r>
      <w:r>
        <w:rPr>
          <w:rFonts w:ascii="Segoe UI" w:hAnsi="Segoe UI"/>
          <w:color w:val="333333"/>
          <w:sz w:val="20"/>
        </w:rPr>
        <w:t>Waiting times, stock levels, licence expiry alerts, and DHIMS2 counts are computed dynamically from primary facts at read time.</w:t>
      </w:r>
    </w:p>
    <w:p>
      <w:pPr>
        <w:keepNext/>
        <w:spacing w:before="320" w:after="120"/>
      </w:pPr>
      <w:r>
        <w:rPr>
          <w:rFonts w:ascii="Segoe UI" w:hAnsi="Segoe UI"/>
          <w:b/>
          <w:color w:val="1B365D"/>
          <w:sz w:val="32"/>
        </w:rPr>
        <w:t>4. Database Design (19 Relational Entities)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Model Name</w:t>
            </w:r>
          </w:p>
        </w:tc>
        <w:tc>
          <w:tcPr>
            <w:tcW w:type="dxa" w:w="2016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Primary Key &amp; Unique Indexes</w:t>
            </w:r>
          </w:p>
        </w:tc>
        <w:tc>
          <w:tcPr>
            <w:tcW w:type="dxa" w:w="259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Key Fields &amp; Relationships</w:t>
            </w:r>
          </w:p>
        </w:tc>
        <w:tc>
          <w:tcPr>
            <w:tcW w:type="dxa" w:w="2880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Role in HMS Architecture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FacilityBranch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id (UUID), code (Unique)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hefraLicenseNo, region, adminEmail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Multi-tenant hospital facility boundary</w:t>
            </w:r>
          </w:p>
        </w:tc>
      </w:tr>
      <w:tr>
        <w:tc>
          <w:tcPr>
            <w:tcW w:type="dxa" w:w="187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UserStaff</w:t>
            </w:r>
          </w:p>
        </w:tc>
        <w:tc>
          <w:tcPr>
            <w:tcW w:type="dxa" w:w="201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id (UUID), staffId, email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role, passwordHash, sessionVersion</w:t>
            </w:r>
          </w:p>
        </w:tc>
        <w:tc>
          <w:tcPr>
            <w:tcW w:type="dxa" w:w="2880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20-role hierarchy &amp; credentials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Patient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id (UUID), mrn, ghanaCardNo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nhisNumber, patientCategory, allergies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Master Patient Index (MPI) record</w:t>
            </w:r>
          </w:p>
        </w:tc>
      </w:tr>
      <w:tr>
        <w:tc>
          <w:tcPr>
            <w:tcW w:type="dxa" w:w="187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QueueItem</w:t>
            </w:r>
          </w:p>
        </w:tc>
        <w:tc>
          <w:tcPr>
            <w:tcW w:type="dxa" w:w="201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id (UUID)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patientId, department, status, priority</w:t>
            </w:r>
          </w:p>
        </w:tc>
        <w:tc>
          <w:tcPr>
            <w:tcW w:type="dxa" w:w="2880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Patient flow &amp; waiting list tracking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VitalSigns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id (UUID)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systolicBp, diastolicBp, esiSeverity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Triage nursing vitals &amp; acuity score</w:t>
            </w:r>
          </w:p>
        </w:tc>
      </w:tr>
      <w:tr>
        <w:tc>
          <w:tcPr>
            <w:tcW w:type="dxa" w:w="187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EMREncounter</w:t>
            </w:r>
          </w:p>
        </w:tc>
        <w:tc>
          <w:tcPr>
            <w:tcW w:type="dxa" w:w="201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id (UUID)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patientId, chiefComplaint, icdDiagnoses</w:t>
            </w:r>
          </w:p>
        </w:tc>
        <w:tc>
          <w:tcPr>
            <w:tcW w:type="dxa" w:w="2880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OPD &amp; Emergency clinical consultation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InpatientBed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id (UUID), bedNumber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wardName, status, currentPatientId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Ward bed allocation &amp; ADT status</w:t>
            </w:r>
          </w:p>
        </w:tc>
      </w:tr>
      <w:tr>
        <w:tc>
          <w:tcPr>
            <w:tcW w:type="dxa" w:w="187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LabOrder</w:t>
            </w:r>
          </w:p>
        </w:tc>
        <w:tc>
          <w:tcPr>
            <w:tcW w:type="dxa" w:w="201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id (UUID), barcodeNo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testCode, specimenType, results, status</w:t>
            </w:r>
          </w:p>
        </w:tc>
        <w:tc>
          <w:tcPr>
            <w:tcW w:type="dxa" w:w="2880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LIS diagnostic order &amp; verification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RadiologyOrder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id (UUID), pacsAccessionNo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studyType, bodyPart, reportContent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PACS imaging study &amp; radiologist report</w:t>
            </w:r>
          </w:p>
        </w:tc>
      </w:tr>
      <w:tr>
        <w:tc>
          <w:tcPr>
            <w:tcW w:type="dxa" w:w="187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PharmacyBatch</w:t>
            </w:r>
          </w:p>
        </w:tc>
        <w:tc>
          <w:tcPr>
            <w:tcW w:type="dxa" w:w="201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id (UUID), batchNumber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drugName, expiryDate, quantityInStock</w:t>
            </w:r>
          </w:p>
        </w:tc>
        <w:tc>
          <w:tcPr>
            <w:tcW w:type="dxa" w:w="2880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FEFO stock management &amp; reorder alerts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DispenseRecord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id (UUID)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prescriptionId, batchNumber, quantity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Transactional drug dispensing record</w:t>
            </w:r>
          </w:p>
        </w:tc>
      </w:tr>
      <w:tr>
        <w:tc>
          <w:tcPr>
            <w:tcW w:type="dxa" w:w="187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BillingInvoice</w:t>
            </w:r>
          </w:p>
        </w:tc>
        <w:tc>
          <w:tcPr>
            <w:tcW w:type="dxa" w:w="201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id (UUID), invoiceNumber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subtotalGhc, totalAmountGhc, lineItems</w:t>
            </w:r>
          </w:p>
        </w:tc>
        <w:tc>
          <w:tcPr>
            <w:tcW w:type="dxa" w:w="2880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Patient financial ledger &amp; receipts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NHISClaimLine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id (UUID), claimNumber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nhisNumber, icdCode, gdrgCode, tariff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Itemized NHIA G-DRG reimbursement claim</w:t>
            </w:r>
          </w:p>
        </w:tc>
      </w:tr>
      <w:tr>
        <w:tc>
          <w:tcPr>
            <w:tcW w:type="dxa" w:w="187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AuditLog</w:t>
            </w:r>
          </w:p>
        </w:tc>
        <w:tc>
          <w:tcPr>
            <w:tcW w:type="dxa" w:w="201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id (UUID)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timestamp, userId, action, details, ip</w:t>
            </w:r>
          </w:p>
        </w:tc>
        <w:tc>
          <w:tcPr>
            <w:tcW w:type="dxa" w:w="2880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Immutable Data Protection audit trail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Segoe UI" w:hAnsi="Segoe UI"/>
          <w:b/>
          <w:color w:val="1B365D"/>
          <w:sz w:val="32"/>
        </w:rPr>
        <w:t>5. Security &amp; Access Perimeter Architecture</w:t>
      </w:r>
    </w:p>
    <w:p>
      <w:pPr>
        <w:spacing w:after="100" w:line="276" w:lineRule="auto"/>
      </w:pPr>
      <w:r>
        <w:rPr>
          <w:rFonts w:ascii="Segoe UI" w:hAnsi="Segoe UI"/>
          <w:i w:val="0"/>
          <w:color w:val="333333"/>
          <w:sz w:val="20"/>
        </w:rPr>
        <w:t>Security enforcement is organized into three distinct layers: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333333"/>
          <w:sz w:val="20"/>
        </w:rPr>
        <w:t xml:space="preserve">1. Edge Middleware (`proxy.ts`): </w:t>
      </w:r>
      <w:r>
        <w:rPr>
          <w:rFonts w:ascii="Segoe UI" w:hAnsi="Segoe UI"/>
          <w:color w:val="333333"/>
          <w:sz w:val="20"/>
        </w:rPr>
        <w:t>Intercepts all incoming HTTP requests, validates HMAC-SHA256 session cookies, checks route authorization rules, and sets security headers.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333333"/>
          <w:sz w:val="20"/>
        </w:rPr>
        <w:t xml:space="preserve">2. Handler Guard (`api-guard.ts`): </w:t>
      </w:r>
      <w:r>
        <w:rPr>
          <w:rFonts w:ascii="Segoe UI" w:hAnsi="Segoe UI"/>
          <w:color w:val="333333"/>
          <w:sz w:val="20"/>
        </w:rPr>
        <w:t>Higher-order wrapper (`withAuth`) that extracts user identity and role context for API Route Handlers.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333333"/>
          <w:sz w:val="20"/>
        </w:rPr>
        <w:t xml:space="preserve">3. Central Access Policy (`api-policy.ts`): </w:t>
      </w:r>
      <w:r>
        <w:rPr>
          <w:rFonts w:ascii="Segoe UI" w:hAnsi="Segoe UI"/>
          <w:color w:val="333333"/>
          <w:sz w:val="20"/>
        </w:rPr>
        <w:t>Declarative matrix mapping exact API path patterns (e.g. `/api/patients/*`) to permitted roles and HTTP methods.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HealthEasy-G HMS — System Analysis &amp; Design Documentation | Group: Architects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egoe UI" w:hAnsi="Segoe UI"/>
      <w:color w:val="78787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