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p>
      <w:pPr>
        <w:spacing w:after="300"/>
      </w:pPr>
      <w:r>
        <w:rPr>
          <w:rFonts w:ascii="Segoe UI" w:hAnsi="Segoe UI"/>
          <w:b/>
          <w:color w:val="1B365D"/>
          <w:sz w:val="24"/>
        </w:rPr>
        <w:t>UNIVERSITY OF GHANA</w:t>
        <w:br/>
        <w:t>DEPARTMENT OF COMPUTER SCIENCE</w:t>
      </w:r>
    </w:p>
    <w:p>
      <w:pPr>
        <w:spacing w:after="600"/>
      </w:pPr>
      <w:r>
        <w:rPr>
          <w:rFonts w:ascii="Segoe UI" w:hAnsi="Segoe UI"/>
          <w:b/>
          <w:color w:val="0066CC"/>
          <w:sz w:val="20"/>
        </w:rPr>
        <w:t>CSCD602: ADVANCE SOFTWARE DEVELOPMENT — CAPSTONE PROJECT</w:t>
      </w:r>
    </w:p>
    <w:p>
      <w:pPr>
        <w:spacing w:after="200"/>
      </w:pPr>
      <w:r>
        <w:rPr>
          <w:rFonts w:ascii="Segoe UI" w:hAnsi="Segoe UI"/>
          <w:b/>
          <w:color w:val="1B365D"/>
          <w:sz w:val="48"/>
        </w:rPr>
        <w:t>Software Requirements Specification (SRS)</w:t>
      </w:r>
    </w:p>
    <w:p>
      <w:pPr>
        <w:spacing w:after="1000"/>
      </w:pPr>
      <w:r>
        <w:rPr>
          <w:rFonts w:ascii="Segoe UI" w:hAnsi="Segoe UI"/>
          <w:i/>
          <w:color w:val="333333"/>
          <w:sz w:val="25"/>
        </w:rPr>
        <w:t>Detailed functional and non-functional requirements specification for HealthEasy-G HMS.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Project Name: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HealthEasy-G Hospital Management System (HMS)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Group Name / ID: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Architects (Group 1)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Live Application: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https://healtheasy-g.vercel.app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GitHub Repository: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https://github.com/NketiaAsubontengErnest/HealthEasy-G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Submission Date: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August 2026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1. Introduction &amp; Scope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This document specifies the software requirements for HealthEasy-G HMS. The system maintains a unified longitudinal record for healthcare facilities in Ghana, eliminating paper duplicate folders, uncoordinated care, manual billing errors, and delayed statutory reporting.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2. Group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Student Name</w:t>
            </w:r>
          </w:p>
        </w:tc>
        <w:tc>
          <w:tcPr>
            <w:tcW w:type="dxa" w:w="1296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Student ID</w:t>
            </w:r>
          </w:p>
        </w:tc>
        <w:tc>
          <w:tcPr>
            <w:tcW w:type="dxa" w:w="4896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Major Technical Contribution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Ernest Nketia Asubonteng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22424715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Lead System Architect, Server Security, Prisma Schema &amp; AI Integrator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Nana Kwabena Asare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22424817</w:t>
            </w:r>
          </w:p>
        </w:tc>
        <w:tc>
          <w:tcPr>
            <w:tcW w:type="dxa" w:w="48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Clinical EMR Module, ICD-10 Coding Engine &amp; Consultation Workflows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Casper Kosi Asense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22425080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Master Patient Index (MPI), Ghana Card Identity &amp; NHIS Validation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4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Richard Gyebi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22424822</w:t>
            </w:r>
          </w:p>
        </w:tc>
        <w:tc>
          <w:tcPr>
            <w:tcW w:type="dxa" w:w="48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Revenue Collection, Cashier Ledger, Invoicing &amp; NHIS G-DRG Claims Engine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Aubrey Owusu Amoah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22424666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PACS Diagnostic Radiology Orders &amp; Radiologist Workstation Interfaces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6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Thomas Nii Armah Okai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22425782</w:t>
            </w:r>
          </w:p>
        </w:tc>
        <w:tc>
          <w:tcPr>
            <w:tcW w:type="dxa" w:w="48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Pharmacy FEFO Batch Inventory Management &amp; Medication Dispensing Engine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Abubakari Zubeiru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22425115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Inpatient Bed Board, ADT Transfers, MAR &amp; DPC Audit Log Infrastructure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8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Frank Tandoh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22425049</w:t>
            </w:r>
          </w:p>
        </w:tc>
        <w:tc>
          <w:tcPr>
            <w:tcW w:type="dxa" w:w="48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Responsive Design System, Accessibility Standards &amp; UI Component Architecture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3. Stakeholder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Stakeholder Group</w:t>
            </w:r>
          </w:p>
        </w:tc>
        <w:tc>
          <w:tcPr>
            <w:tcW w:type="dxa" w:w="53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Key System Expectations &amp; Needs</w:t>
            </w:r>
          </w:p>
        </w:tc>
        <w:tc>
          <w:tcPr>
            <w:tcW w:type="dxa" w:w="144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Impact Level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Ghana Health Service (GHS)</w:t>
            </w:r>
          </w:p>
        </w:tc>
        <w:tc>
          <w:tcPr>
            <w:tcW w:type="dxa" w:w="532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Statutory DHIMS2 monthly reporting compliance &amp; standardized care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HeFRA Regulator</w:t>
            </w:r>
          </w:p>
        </w:tc>
        <w:tc>
          <w:tcPr>
            <w:tcW w:type="dxa" w:w="5328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Facility &amp; professional licence tracking to prevent unlicensed practice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NHIA Claims Bureau</w:t>
            </w:r>
          </w:p>
        </w:tc>
        <w:tc>
          <w:tcPr>
            <w:tcW w:type="dxa" w:w="532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Accurate G-DRG coding, rejection-free claims batching &amp; auditability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Data Protection Commission</w:t>
            </w:r>
          </w:p>
        </w:tc>
        <w:tc>
          <w:tcPr>
            <w:tcW w:type="dxa" w:w="5328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Strict patient privacy, RBAC, and immutable audit logging (Act 843)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Hospital Executives / Admins</w:t>
            </w:r>
          </w:p>
        </w:tc>
        <w:tc>
          <w:tcPr>
            <w:tcW w:type="dxa" w:w="532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Real-time bed occupancy, revenue reconciliation, and staff productivity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Clinicians &amp; Doctors</w:t>
            </w:r>
          </w:p>
        </w:tc>
        <w:tc>
          <w:tcPr>
            <w:tcW w:type="dxa" w:w="5328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Fast EMR entry, ICD-10 search, clinical order tracking, AI decision support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Nurses &amp; Midwives</w:t>
            </w:r>
          </w:p>
        </w:tc>
        <w:tc>
          <w:tcPr>
            <w:tcW w:type="dxa" w:w="532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Rapid triage vitals entry, ESI acuity grading, ward bed tracking, MAR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Pharmacists</w:t>
            </w:r>
          </w:p>
        </w:tc>
        <w:tc>
          <w:tcPr>
            <w:tcW w:type="dxa" w:w="5328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FEFO stock control, near-expiry alerts, controlled drug dispensing logs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Cashiers &amp; Billing Officers</w:t>
            </w:r>
          </w:p>
        </w:tc>
        <w:tc>
          <w:tcPr>
            <w:tcW w:type="dxa" w:w="532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Instant invoice generation, cash/MoMo reconciliation, receipt printing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Patients</w:t>
            </w:r>
          </w:p>
        </w:tc>
        <w:tc>
          <w:tcPr>
            <w:tcW w:type="dxa" w:w="5328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Reduced waiting times, single MRN across hospital departments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High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4. Functional Requirements (FR)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FR-1: Master Patient Index (MPI): </w:t>
      </w:r>
      <w:r>
        <w:rPr>
          <w:rFonts w:ascii="Segoe UI" w:hAnsi="Segoe UI"/>
          <w:i w:val="0"/>
          <w:color w:val="333333"/>
          <w:sz w:val="20"/>
        </w:rPr>
        <w:t>The system shall create and maintain a unique longitudinal patient record indexed by Medical Record Number (MRN) and validated against Ghana Card numbers (GHA-XXXXXXXXX-X). It shall provide duplicate identification and merge capabilities.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FR-2: Triage &amp; Nursing Vitals: </w:t>
      </w:r>
      <w:r>
        <w:rPr>
          <w:rFonts w:ascii="Segoe UI" w:hAnsi="Segoe UI"/>
          <w:i w:val="0"/>
          <w:color w:val="333333"/>
          <w:sz w:val="20"/>
        </w:rPr>
        <w:t>The system shall allow nurses to record vital signs (BP, Pulse, Temp, SpO2, BMI, Blood Glucose) and compute Emergency Severity Index (ESI 1-5) acuity levels with automated abnormal alert badges.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FR-3: Electronic Medical Record (EMR): </w:t>
      </w:r>
      <w:r>
        <w:rPr>
          <w:rFonts w:ascii="Segoe UI" w:hAnsi="Segoe UI"/>
          <w:i w:val="0"/>
          <w:color w:val="333333"/>
          <w:sz w:val="20"/>
        </w:rPr>
        <w:t>The system shall provide doctors with a clinical consultation interface supporting SOAP notes, ICD-10 diagnosis selection, treatment plans, sick leave certification, and automated clinical ordering.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FR-4: Laboratory Information System (LIS): </w:t>
      </w:r>
      <w:r>
        <w:rPr>
          <w:rFonts w:ascii="Segoe UI" w:hAnsi="Segoe UI"/>
          <w:i w:val="0"/>
          <w:color w:val="333333"/>
          <w:sz w:val="20"/>
        </w:rPr>
        <w:t>The system shall manage lab orders from creation to specimen barcoding, result entry, and mandatory separate lab technician verification before clinical release.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FR-5: Radiology Information System (PACS): </w:t>
      </w:r>
      <w:r>
        <w:rPr>
          <w:rFonts w:ascii="Segoe UI" w:hAnsi="Segoe UI"/>
          <w:i w:val="0"/>
          <w:color w:val="333333"/>
          <w:sz w:val="20"/>
        </w:rPr>
        <w:t>The system shall support study ordering (X-Ray, Ultrasound, CT, MRI), accession tracking, radiologist reporting, and critical findings alerts.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FR-6: Pharmacy FEFO Stock &amp; Dispensing: </w:t>
      </w:r>
      <w:r>
        <w:rPr>
          <w:rFonts w:ascii="Segoe UI" w:hAnsi="Segoe UI"/>
          <w:i w:val="0"/>
          <w:color w:val="333333"/>
          <w:sz w:val="20"/>
        </w:rPr>
        <w:t>The system shall manage drug inventory on a First-Expiry-First-Out (FEFO) basis, deduct stock automatically upon dispensing, and enforce prescription verification.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FR-7: Ward Bed Management &amp; MAR: </w:t>
      </w:r>
      <w:r>
        <w:rPr>
          <w:rFonts w:ascii="Segoe UI" w:hAnsi="Segoe UI"/>
          <w:i w:val="0"/>
          <w:color w:val="333333"/>
          <w:sz w:val="20"/>
        </w:rPr>
        <w:t>The system shall display real-time ward bed occupancy, handle Admission/Discharge/Transfer (ADT), and maintain a digital Medication Administration Record (MAR).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FR-8: Revenue Collection &amp; Billing: </w:t>
      </w:r>
      <w:r>
        <w:rPr>
          <w:rFonts w:ascii="Segoe UI" w:hAnsi="Segoe UI"/>
          <w:i w:val="0"/>
          <w:color w:val="333333"/>
          <w:sz w:val="20"/>
        </w:rPr>
        <w:t>The system shall compile items from consultation, lab, radiology, and pharmacy into itemized invoices, support Cash/MoMo/Card payments, and issue official electronic receipts.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FR-9: NHIS G-DRG Claims Engine: </w:t>
      </w:r>
      <w:r>
        <w:rPr>
          <w:rFonts w:ascii="Segoe UI" w:hAnsi="Segoe UI"/>
          <w:i w:val="0"/>
          <w:color w:val="333333"/>
          <w:sz w:val="20"/>
        </w:rPr>
        <w:t>The system shall automatically generate G-DRG claim lines from clinical diagnoses and procedures, validate tariff coverage, and prepare submission batches for CLAIM-it.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FR-10: DHIMS2 Monthly Statutory Reporting: </w:t>
      </w:r>
      <w:r>
        <w:rPr>
          <w:rFonts w:ascii="Segoe UI" w:hAnsi="Segoe UI"/>
          <w:i w:val="0"/>
          <w:color w:val="333333"/>
          <w:sz w:val="20"/>
        </w:rPr>
        <w:t>The system shall calculate monthly GHS returns (OPD attendance, admissions, deaths, maternal deliveries) from operational data for single-click export.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FR-11: Role-Based Access Control (RBAC): </w:t>
      </w:r>
      <w:r>
        <w:rPr>
          <w:rFonts w:ascii="Segoe UI" w:hAnsi="Segoe UI"/>
          <w:i w:val="0"/>
          <w:color w:val="333333"/>
          <w:sz w:val="20"/>
        </w:rPr>
        <w:t>The system shall enforce server-side RBAC across 19 granular staff roles with least-privilege enforcement and DPC compliance.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FR-12: AI Clinical Prescribing Assistant: </w:t>
      </w:r>
      <w:r>
        <w:rPr>
          <w:rFonts w:ascii="Segoe UI" w:hAnsi="Segoe UI"/>
          <w:i w:val="0"/>
          <w:color w:val="333333"/>
          <w:sz w:val="20"/>
        </w:rPr>
        <w:t>The system shall provide an Ollama-backed prescribing assistant with deterministic Ghana Standard Treatment Guidelines (GSTG) safety fallbacks.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5. Non-Functional Requirements (NFR)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NFR-1: Performance &amp; Response Time: </w:t>
      </w:r>
      <w:r>
        <w:rPr>
          <w:rFonts w:ascii="Segoe UI" w:hAnsi="Segoe UI"/>
          <w:i w:val="0"/>
          <w:color w:val="333333"/>
          <w:sz w:val="20"/>
        </w:rPr>
        <w:t>Page loads shall complete within &lt;1.5s and API route handler queries within &lt;200ms under standard local/cloud server load.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NFR-2: Security &amp; Privacy: </w:t>
      </w:r>
      <w:r>
        <w:rPr>
          <w:rFonts w:ascii="Segoe UI" w:hAnsi="Segoe UI"/>
          <w:i w:val="0"/>
          <w:color w:val="333333"/>
          <w:sz w:val="20"/>
        </w:rPr>
        <w:t>All session cookies shall be HMAC-SHA256 signed on the server. Passwords shall be salted and hashed with bcrypt (10 rounds). Direct database access to identifiable patient records shall be restricted per DPC Act 843.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NFR-3: Availability &amp; Dual-Target Resilience: </w:t>
      </w:r>
      <w:r>
        <w:rPr>
          <w:rFonts w:ascii="Segoe UI" w:hAnsi="Segoe UI"/>
          <w:i w:val="0"/>
          <w:color w:val="333333"/>
          <w:sz w:val="20"/>
        </w:rPr>
        <w:t>The system shall operate seamlessly against both local offline PostgreSQL instances and Neon cloud managed PostgreSQL using automated connection resolution.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NFR-4: Usability &amp; Responsiveness: </w:t>
      </w:r>
      <w:r>
        <w:rPr>
          <w:rFonts w:ascii="Segoe UI" w:hAnsi="Segoe UI"/>
          <w:i w:val="0"/>
          <w:color w:val="333333"/>
          <w:sz w:val="20"/>
        </w:rPr>
        <w:t>The user interface shall adapt dynamically across desktop, tablet, and mobile displays, meeting WCAG 2.1 AA accessibility standards.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NFR-5: Maintainability &amp; Code Quality: </w:t>
      </w:r>
      <w:r>
        <w:rPr>
          <w:rFonts w:ascii="Segoe UI" w:hAnsi="Segoe UI"/>
          <w:i w:val="0"/>
          <w:color w:val="333333"/>
          <w:sz w:val="20"/>
        </w:rPr>
        <w:t>The codebase shall enforce strict TypeScript type checking, single-responsibility domain adapters, and single-file access declarations.</w:t>
      </w:r>
    </w:p>
    <w:p>
      <w:pPr>
        <w:spacing w:after="100" w:line="276" w:lineRule="auto"/>
      </w:pPr>
      <w:r>
        <w:rPr>
          <w:rFonts w:ascii="Segoe UI" w:hAnsi="Segoe UI"/>
          <w:b/>
          <w:color w:val="333333"/>
          <w:sz w:val="20"/>
        </w:rPr>
        <w:t xml:space="preserve">NFR-6: Auditability &amp; Compliance: </w:t>
      </w:r>
      <w:r>
        <w:rPr>
          <w:rFonts w:ascii="Segoe UI" w:hAnsi="Segoe UI"/>
          <w:i w:val="0"/>
          <w:color w:val="333333"/>
          <w:sz w:val="20"/>
        </w:rPr>
        <w:t>All state-modifying actions shall generate immutable audit logs recording timestamp, user ID, staff role, action, patient MRN, and client IP address.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HealthEasy-G HMS — Software Requirements Specification | Group: Architects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