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</w:p>
    <w:p>
      <w:pPr>
        <w:spacing w:after="300"/>
      </w:pPr>
      <w:r>
        <w:rPr>
          <w:rFonts w:ascii="Segoe UI" w:hAnsi="Segoe UI"/>
          <w:b/>
          <w:color w:val="1B365D"/>
          <w:sz w:val="24"/>
        </w:rPr>
        <w:t>UNIVERSITY OF GHANA</w:t>
        <w:br/>
        <w:t>DEPARTMENT OF COMPUTER SCIENCE</w:t>
      </w:r>
    </w:p>
    <w:p>
      <w:pPr>
        <w:spacing w:after="600"/>
      </w:pPr>
      <w:r>
        <w:rPr>
          <w:rFonts w:ascii="Segoe UI" w:hAnsi="Segoe UI"/>
          <w:b/>
          <w:color w:val="0066CC"/>
          <w:sz w:val="20"/>
        </w:rPr>
        <w:t>CSCD602: ADVANCE SOFTWARE DEVELOPMENT — CAPSTONE PROJECT</w:t>
      </w:r>
    </w:p>
    <w:p>
      <w:pPr>
        <w:spacing w:after="200"/>
      </w:pPr>
      <w:r>
        <w:rPr>
          <w:rFonts w:ascii="Segoe UI" w:hAnsi="Segoe UI"/>
          <w:b/>
          <w:color w:val="1B365D"/>
          <w:sz w:val="48"/>
        </w:rPr>
        <w:t>User Manual &amp; Administration Guide</w:t>
      </w:r>
    </w:p>
    <w:p>
      <w:pPr>
        <w:spacing w:after="1000"/>
      </w:pPr>
      <w:r>
        <w:rPr>
          <w:rFonts w:ascii="Segoe UI" w:hAnsi="Segoe UI"/>
          <w:i/>
          <w:color w:val="333333"/>
          <w:sz w:val="25"/>
        </w:rPr>
        <w:t>Role-based operational walkthroughs, workflow guides, and system maintenance instructions.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Project Name: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HealthEasy-G Hospital Management System (HMS)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Group Name / ID: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Architects (Group 1)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Live Application: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https://healtheasy-g.vercel.app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GitHub Repository: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https://github.com/NketiaAsubontengErnest/HealthEasy-G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Submission Date: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August 2026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1. Introduction to HealthEasy-G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HealthEasy-G is a role-adapted Hospital Management System. Upon logging in at the central portal, the navigation bar and available capabilities adapt dynamically to the user's assigned role.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2. Group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Student Name</w:t>
            </w:r>
          </w:p>
        </w:tc>
        <w:tc>
          <w:tcPr>
            <w:tcW w:type="dxa" w:w="1296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Student ID</w:t>
            </w:r>
          </w:p>
        </w:tc>
        <w:tc>
          <w:tcPr>
            <w:tcW w:type="dxa" w:w="4896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Major Technical Contribution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Ernest Nketia Asubonteng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22424715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Lead System Architect, Server Security, Prisma Schema &amp; AI Integrator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Nana Kwabena Asare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22424817</w:t>
            </w:r>
          </w:p>
        </w:tc>
        <w:tc>
          <w:tcPr>
            <w:tcW w:type="dxa" w:w="48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Clinical EMR Module, ICD-10 Coding Engine &amp; Consultation Workflows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Casper Kosi Asense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22425080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Master Patient Index (MPI), Ghana Card Identity &amp; NHIS Validation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4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Richard Gyebi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22424822</w:t>
            </w:r>
          </w:p>
        </w:tc>
        <w:tc>
          <w:tcPr>
            <w:tcW w:type="dxa" w:w="48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Revenue Collection, Cashier Ledger, Invoicing &amp; NHIS G-DRG Claims Engine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Aubrey Owusu Amoah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22424666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PACS Diagnostic Radiology Orders &amp; Radiologist Workstation Interfaces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6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Thomas Nii Armah Okai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22425782</w:t>
            </w:r>
          </w:p>
        </w:tc>
        <w:tc>
          <w:tcPr>
            <w:tcW w:type="dxa" w:w="48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Pharmacy FEFO Batch Inventory Management &amp; Medication Dispensing Engine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Abubakari Zubeiru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22425115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Inpatient Bed Board, ADT Transfers, MAR &amp; DPC Audit Log Infrastructure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8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Frank Tandoh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22425049</w:t>
            </w:r>
          </w:p>
        </w:tc>
        <w:tc>
          <w:tcPr>
            <w:tcW w:type="dxa" w:w="48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Responsive Design System, Accessibility Standards &amp; UI Component Architecture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3. Role-Based Operational Guides</w:t>
      </w:r>
    </w:p>
    <w:p>
      <w:pPr>
        <w:keepNext/>
        <w:spacing w:before="240" w:after="80"/>
      </w:pPr>
      <w:r>
        <w:rPr>
          <w:rFonts w:ascii="Segoe UI" w:hAnsi="Segoe UI"/>
          <w:b/>
          <w:color w:val="0066CC"/>
          <w:sz w:val="26"/>
        </w:rPr>
        <w:t>3.1 Patient Records &amp; Registration Staff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Go to Patient Registration -&gt; Enter Ghana Card No (GHA-XXXXXXXXX-X) -&gt; Enter demographic details -&gt; Save. The system generates a unique Medical Record Number (MRN) and queues the patient for Triage.</w:t>
      </w:r>
    </w:p>
    <w:p>
      <w:pPr>
        <w:keepNext/>
        <w:spacing w:before="240" w:after="80"/>
      </w:pPr>
      <w:r>
        <w:rPr>
          <w:rFonts w:ascii="Segoe UI" w:hAnsi="Segoe UI"/>
          <w:b/>
          <w:color w:val="0066CC"/>
          <w:sz w:val="26"/>
        </w:rPr>
        <w:t>3.2 Triage Nurses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Go to OPD Triage Queue -&gt; Select Patient -&gt; Record Systolic/Diastolic BP, Pulse, Temperature, SpO2, BMI, and Glucose. Select ESI Acuity level (1-5). Automated alerts highlight abnormal vitals. Send patient to OPD Doctor.</w:t>
      </w:r>
    </w:p>
    <w:p>
      <w:pPr>
        <w:keepNext/>
        <w:spacing w:before="240" w:after="80"/>
      </w:pPr>
      <w:r>
        <w:rPr>
          <w:rFonts w:ascii="Segoe UI" w:hAnsi="Segoe UI"/>
          <w:b/>
          <w:color w:val="0066CC"/>
          <w:sz w:val="26"/>
        </w:rPr>
        <w:t>3.3 OPD Clinicians &amp; Doctors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Go to EMR Consultations -&gt; Open Patient File -&gt; Record Chief Complaint &amp; History -&gt; Search and select ICD-10 Diagnoses -&gt; Add Clinical Orders (Lab / Radiology / Pharmacy) -&gt; Sign Encounter.</w:t>
      </w:r>
    </w:p>
    <w:p>
      <w:pPr>
        <w:keepNext/>
        <w:spacing w:before="240" w:after="80"/>
      </w:pPr>
      <w:r>
        <w:rPr>
          <w:rFonts w:ascii="Segoe UI" w:hAnsi="Segoe UI"/>
          <w:b/>
          <w:color w:val="0066CC"/>
          <w:sz w:val="26"/>
        </w:rPr>
        <w:t>3.4 Laboratory Technicians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Go to Laboratory Worklist -&gt; Scan/Verify Specimen Barcode -&gt; Run test -&gt; Enter result values -&gt; Submit for Verification. A senior lab officer verifies before results appear on doctor's EMR.</w:t>
      </w:r>
    </w:p>
    <w:p>
      <w:pPr>
        <w:keepNext/>
        <w:spacing w:before="240" w:after="80"/>
      </w:pPr>
      <w:r>
        <w:rPr>
          <w:rFonts w:ascii="Segoe UI" w:hAnsi="Segoe UI"/>
          <w:b/>
          <w:color w:val="0066CC"/>
          <w:sz w:val="26"/>
        </w:rPr>
        <w:t>3.5 Pharmacists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Go to Pharmacy Dispensing -&gt; Select Patient Prescription -&gt; System pre-selects oldest non-expired FEFO batch -&gt; Confirm quantity -&gt; Dispense. Stock is automatically deducted.</w:t>
      </w:r>
    </w:p>
    <w:p>
      <w:pPr>
        <w:keepNext/>
        <w:spacing w:before="240" w:after="80"/>
      </w:pPr>
      <w:r>
        <w:rPr>
          <w:rFonts w:ascii="Segoe UI" w:hAnsi="Segoe UI"/>
          <w:b/>
          <w:color w:val="0066CC"/>
          <w:sz w:val="26"/>
        </w:rPr>
        <w:t>3.6 Cashiers &amp; Revenue Officers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Go to Billing &amp; Cashier -&gt; Search Patient MRN -&gt; Review compiled items (consultation, lab, drugs) -&gt; Select payment method (Cash/MoMo/Card) -&gt; Process Payment -&gt; Print Receipt.</w:t>
      </w:r>
    </w:p>
    <w:p>
      <w:pPr>
        <w:keepNext/>
        <w:spacing w:before="240" w:after="80"/>
      </w:pPr>
      <w:r>
        <w:rPr>
          <w:rFonts w:ascii="Segoe UI" w:hAnsi="Segoe UI"/>
          <w:b/>
          <w:color w:val="0066CC"/>
          <w:sz w:val="26"/>
        </w:rPr>
        <w:t>3.7 System Administrator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Go to System Governance -&gt; Review HeFRA Licence status -&gt; Monitor DPC Audit Logs -&gt; Generate DHIMS2 Monthly Statutory Return -&gt; Manage Staff Accounts.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HealthEasy-G HMS — User Manual &amp; System Administration Guide | Group: Architects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