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healtheasy-g-hospital-management-system"/>
    <w:p>
      <w:pPr>
        <w:pStyle w:val="Heading1"/>
      </w:pPr>
      <w:r>
        <w:t xml:space="preserve">HealthEasy-G — Hospital Management System</w:t>
      </w:r>
    </w:p>
    <w:p>
      <w:pPr>
        <w:pStyle w:val="FirstParagraph"/>
      </w:pPr>
      <w:r>
        <w:rPr>
          <w:b/>
          <w:bCs/>
        </w:rPr>
        <w:t xml:space="preserve">Group:</w:t>
      </w:r>
      <w:r>
        <w:t xml:space="preserve"> </w:t>
      </w:r>
      <w:r>
        <w:t xml:space="preserve">Architects ·</w:t>
      </w:r>
      <w:r>
        <w:t xml:space="preserve"> </w:t>
      </w:r>
      <w:r>
        <w:rPr>
          <w:b/>
          <w:bCs/>
        </w:rPr>
        <w:t xml:space="preserve">Project:</w:t>
      </w:r>
      <w:r>
        <w:t xml:space="preserve"> </w:t>
      </w:r>
      <w:r>
        <w:t xml:space="preserve">HealthEasy</w:t>
      </w:r>
      <w:r>
        <w:t xml:space="preserve"> </w:t>
      </w:r>
      <w:r>
        <w:rPr>
          <w:b/>
          <w:bCs/>
        </w:rPr>
        <w:t xml:space="preserve">CSCD602 Advance Software Development — Capstone Project, University of Ghana</w:t>
      </w:r>
    </w:p>
    <w:p>
      <w:pPr>
        <w:pStyle w:val="BlockText"/>
      </w:pPr>
      <w:r>
        <w:t xml:space="preserve">An enterprise Hospital Management System for Ghana’s healthcare ecosystem, built with</w:t>
      </w:r>
      <w:r>
        <w:t xml:space="preserve"> </w:t>
      </w:r>
      <w:r>
        <w:t xml:space="preserve">Next.js 16 (App Router), TypeScript, Tailwind CSS, PostgreSQL and Prisma ORM, and aligned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HeFRA</w:t>
      </w:r>
      <w:r>
        <w:t xml:space="preserve">,</w:t>
      </w:r>
      <w:r>
        <w:t xml:space="preserve"> </w:t>
      </w:r>
      <w:r>
        <w:rPr>
          <w:b/>
          <w:bCs/>
        </w:rPr>
        <w:t xml:space="preserve">GHS</w:t>
      </w:r>
      <w:r>
        <w:t xml:space="preserve">,</w:t>
      </w:r>
      <w:r>
        <w:t xml:space="preserve"> </w:t>
      </w:r>
      <w:r>
        <w:rPr>
          <w:b/>
          <w:bCs/>
        </w:rPr>
        <w:t xml:space="preserve">NHIA G-DRG</w:t>
      </w:r>
      <w:r>
        <w:t xml:space="preserve">,</w:t>
      </w:r>
      <w:r>
        <w:t xml:space="preserve"> </w:t>
      </w:r>
      <w:r>
        <w:rPr>
          <w:b/>
          <w:bCs/>
        </w:rPr>
        <w:t xml:space="preserve">DHIMS2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Data Protection Commission</w:t>
      </w:r>
      <w:r>
        <w:t xml:space="preserve"> </w:t>
      </w:r>
      <w:r>
        <w:t xml:space="preserve">standards.</w:t>
      </w:r>
    </w:p>
    <w:p>
      <w:pPr>
        <w:pStyle w:val="FirstParagraph"/>
      </w:pPr>
      <w:r>
        <w:rPr>
          <w:b/>
          <w:bCs/>
        </w:rPr>
        <w:t xml:space="preserve">Live application:</w:t>
      </w:r>
      <w:r>
        <w:t xml:space="preserve"> </w:t>
      </w:r>
      <w:hyperlink r:id="rId9">
        <w:r>
          <w:rPr>
            <w:rStyle w:val="Hyperlink"/>
          </w:rPr>
          <w:t xml:space="preserve">https://healtheasy-g.vercel.app</w:t>
        </w:r>
      </w:hyperlink>
    </w:p>
    <w:p>
      <w:pPr>
        <w:pStyle w:val="BlockText"/>
      </w:pPr>
      <w:r>
        <w:rPr>
          <w:b/>
          <w:bCs/>
        </w:rPr>
        <w:t xml:space="preserve">Examiner credentials are not published here.</w:t>
      </w:r>
      <w:r>
        <w:t xml:space="preserve"> </w:t>
      </w:r>
      <w:r>
        <w:t xml:space="preserve">They are supplied in</w:t>
      </w:r>
      <w:r>
        <w:t xml:space="preserve"> </w:t>
      </w:r>
      <w:r>
        <w:rPr>
          <w:rStyle w:val="VerbatimChar"/>
        </w:rPr>
        <w:t xml:space="preserve">Links.txt</w:t>
      </w:r>
      <w:r>
        <w:t xml:space="preserve"> </w:t>
      </w:r>
      <w:r>
        <w:t xml:space="preserve">with the Sakai submission, in line with the coursework rule against placing</w:t>
      </w:r>
      <w:r>
        <w:t xml:space="preserve"> </w:t>
      </w:r>
      <w:r>
        <w:t xml:space="preserve">passwords in publicly accessible repositories.</w:t>
      </w:r>
    </w:p>
    <w:p>
      <w:r>
        <w:pict>
          <v:rect style="width:0;height:1.5pt" o:hralign="center" o:hrstd="t" o:hr="t"/>
        </w:pict>
      </w:r>
    </w:p>
    <w:bookmarkStart w:id="10" w:name="project-overview"/>
    <w:p>
      <w:pPr>
        <w:pStyle w:val="Heading2"/>
      </w:pPr>
      <w:r>
        <w:t xml:space="preserve">1. Project Overview</w:t>
      </w:r>
    </w:p>
    <w:p>
      <w:pPr>
        <w:pStyle w:val="FirstParagraph"/>
      </w:pPr>
      <w:r>
        <w:t xml:space="preserve">Ghanaian facilities routinely run on paper folders and disconnected spreadsheets. A patient</w:t>
      </w:r>
      <w:r>
        <w:t xml:space="preserve"> </w:t>
      </w:r>
      <w:r>
        <w:t xml:space="preserve">seen three times can accumulate three folders, three NHIS numbers and three conflicting</w:t>
      </w:r>
      <w:r>
        <w:t xml:space="preserve"> </w:t>
      </w:r>
      <w:r>
        <w:t xml:space="preserve">allergy lists. HealthEasy-G replaces that with a single record that follows the patient from</w:t>
      </w:r>
      <w:r>
        <w:t xml:space="preserve"> </w:t>
      </w:r>
      <w:r>
        <w:t xml:space="preserve">the registration desk, through triage, consultation, the laboratory, radiology, the pharmacy</w:t>
      </w:r>
      <w:r>
        <w:t xml:space="preserve"> </w:t>
      </w:r>
      <w:r>
        <w:t xml:space="preserve">and the cashier, to the NHIS claim — without anyone retyping a name.</w:t>
      </w:r>
    </w:p>
    <w:bookmarkEnd w:id="10"/>
    <w:bookmarkStart w:id="11" w:name="main-system-features"/>
    <w:p>
      <w:pPr>
        <w:pStyle w:val="Heading2"/>
      </w:pPr>
      <w:r>
        <w:t xml:space="preserve">2. Main System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Patient administration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Patient Index, Ghana Card and NHIS validation, duplicate prevention with merge, queue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Clinical care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Triage vitals with ESI scoring and server-derived abnormality alerts, OPD/emergency consultation, ICD-10 coding, clinical orders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Laboratory orders with specimen barcoding, result entry and separate verification; PACS radiology requests and radiologist sign-off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Ward bed board, admission/discharge/transfer, medication administration chart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FEFO batch stock, prescription verification, transactional dispensing with stock deduction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Cashier collections and receipts, server-recomputed invoice totals, refund authorisation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NHIS G-DRG claim lines assembled from clinical data, claim batching for CLAIM-it submission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DHIMS2 monthly return, HeFRA licence tracking, immutable audit trail, 19-role RBAC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Clinical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Ollama-backed prescribing assistant with a Ghana Standard Treatment Guidelines rule-engine fallback</w:t>
            </w:r>
          </w:p>
        </w:tc>
      </w:tr>
    </w:tbl>
    <w:bookmarkEnd w:id="11"/>
    <w:bookmarkStart w:id="12" w:name="technology-stack"/>
    <w:p>
      <w:pPr>
        <w:pStyle w:val="Heading2"/>
      </w:pPr>
      <w:r>
        <w:t xml:space="preserve">3.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16 (App Router, React Server Components)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 (strict)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19, Tailwind CSS 4, Radix UI, Tabler Icons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16 with Prisma ORM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HMAC-SHA256 signed session cookies (Web Crypto)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bcrypt (10 rounds)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Clinical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Ollama JS SDK with a deterministic GSTG rule-engine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 built-in test runner with</w:t>
            </w:r>
            <w:r>
              <w:t xml:space="preserve"> </w:t>
            </w:r>
            <w:r>
              <w:rPr>
                <w:rStyle w:val="VerbatimChar"/>
              </w:rPr>
              <w:t xml:space="preserve">tsx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Actions (typecheck, test, build against a live PostgreSQL service)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Vercel; Neon serverless PostgreSQL</w:t>
            </w:r>
          </w:p>
        </w:tc>
      </w:tr>
    </w:tbl>
    <w:bookmarkEnd w:id="12"/>
    <w:bookmarkStart w:id="13" w:name="accessing-the-application"/>
    <w:p>
      <w:pPr>
        <w:pStyle w:val="Heading2"/>
      </w:pPr>
      <w:r>
        <w:t xml:space="preserve">4. Accessing the Application</w:t>
      </w:r>
    </w:p>
    <w:p>
      <w:pPr>
        <w:pStyle w:val="Compact"/>
        <w:numPr>
          <w:ilvl w:val="0"/>
          <w:numId w:val="1001"/>
        </w:numPr>
      </w:pPr>
      <w:r>
        <w:t xml:space="preserve">Open</w:t>
      </w:r>
      <w:r>
        <w:t xml:space="preserve"> </w:t>
      </w:r>
      <w:hyperlink r:id="rId9">
        <w:r>
          <w:rPr>
            <w:rStyle w:val="Hyperlink"/>
          </w:rPr>
          <w:t xml:space="preserve">https://healtheasy-g.vercel.app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landing page is public. Select</w:t>
      </w:r>
      <w:r>
        <w:t xml:space="preserve"> </w:t>
      </w:r>
      <w:r>
        <w:rPr>
          <w:b/>
          <w:bCs/>
        </w:rPr>
        <w:t xml:space="preserve">Staff sign 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Sign in with the credentials supplied in</w:t>
      </w:r>
      <w:r>
        <w:t xml:space="preserve"> </w:t>
      </w:r>
      <w:r>
        <w:rPr>
          <w:rStyle w:val="VerbatimChar"/>
        </w:rPr>
        <w:t xml:space="preserve">Links.txt</w:t>
      </w:r>
      <w:r>
        <w:t xml:space="preserve">.</w:t>
      </w:r>
    </w:p>
    <w:p>
      <w:pPr>
        <w:pStyle w:val="FirstParagraph"/>
      </w:pPr>
      <w:r>
        <w:t xml:space="preserve">There is no separate admin URL — the administrator signs in at the same portal and the</w:t>
      </w:r>
      <w:r>
        <w:t xml:space="preserve"> </w:t>
      </w:r>
      <w:r>
        <w:t xml:space="preserve">interface adapts to the role held by the account.</w:t>
      </w:r>
    </w:p>
    <w:p>
      <w:pPr>
        <w:pStyle w:val="BodyText"/>
      </w:pPr>
      <w:r>
        <w:rPr>
          <w:b/>
          <w:bCs/>
        </w:rPr>
        <w:t xml:space="preserve">Test and administrator credentials: see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Links.txt</w:t>
      </w:r>
      <w:r>
        <w:rPr>
          <w:b/>
          <w:bCs/>
        </w:rPr>
        <w:t xml:space="preserve"> </w:t>
      </w:r>
      <w:r>
        <w:rPr>
          <w:b/>
          <w:bCs/>
        </w:rPr>
        <w:t xml:space="preserve">in the Sakai submission.</w:t>
      </w:r>
    </w:p>
    <w:bookmarkEnd w:id="13"/>
    <w:bookmarkStart w:id="15" w:name="running-locally"/>
    <w:p>
      <w:pPr>
        <w:pStyle w:val="Heading2"/>
      </w:pPr>
      <w:r>
        <w:t xml:space="preserve">5. Running Locally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Node.js 20+, PostgreSQL (local instance, a cloud instance, or both).</w:t>
      </w:r>
    </w:p>
    <w:p>
      <w:pPr>
        <w:pStyle w:val="SourceCode"/>
      </w:pPr>
      <w:r>
        <w:rPr>
          <w:rStyle w:val="VerbatimChar"/>
        </w:rPr>
        <w:t xml:space="preserve">git clone https://github.com/NketiaAsubontengErnest/HealthEasy-G.git</w:t>
      </w:r>
      <w:r>
        <w:br/>
      </w:r>
      <w:r>
        <w:rPr>
          <w:rStyle w:val="VerbatimChar"/>
        </w:rPr>
        <w:t xml:space="preserve">cd HealthEasy-G</w:t>
      </w:r>
      <w:r>
        <w:br/>
      </w:r>
      <w:r>
        <w:rPr>
          <w:rStyle w:val="VerbatimChar"/>
        </w:rPr>
        <w:t xml:space="preserve">cp .env.example .env      # then fill in your own values</w:t>
      </w:r>
      <w:r>
        <w:br/>
      </w:r>
      <w:r>
        <w:rPr>
          <w:rStyle w:val="VerbatimChar"/>
        </w:rPr>
        <w:t xml:space="preserve">npm install               # generates the Prisma client automatically</w:t>
      </w:r>
      <w:r>
        <w:br/>
      </w:r>
      <w:r>
        <w:br/>
      </w:r>
      <w:r>
        <w:rPr>
          <w:rStyle w:val="VerbatimChar"/>
        </w:rPr>
        <w:t xml:space="preserve">npm run db:setup:cloud    # schema + seed on the online database</w:t>
      </w:r>
      <w:r>
        <w:br/>
      </w:r>
      <w:r>
        <w:rPr>
          <w:rStyle w:val="VerbatimChar"/>
        </w:rPr>
        <w:t xml:space="preserve">npm run db:setup:local    # schema + seed on the offline database</w:t>
      </w:r>
      <w:r>
        <w:br/>
      </w:r>
      <w:r>
        <w:br/>
      </w:r>
      <w:r>
        <w:rPr>
          <w:rStyle w:val="VerbatimChar"/>
        </w:rPr>
        <w:t xml:space="preserve">npm run dev               # http://localhost:3000</w:t>
      </w:r>
    </w:p>
    <w:p>
      <w:pPr>
        <w:pStyle w:val="FirstParagraph"/>
      </w:pPr>
      <w:r>
        <w:t xml:space="preserve">The system runs against</w:t>
      </w:r>
      <w:r>
        <w:t xml:space="preserve"> </w:t>
      </w:r>
      <w:r>
        <w:rPr>
          <w:b/>
          <w:bCs/>
        </w:rPr>
        <w:t xml:space="preserve">either a local PostgreSQL (offline) or a managed cloud</w:t>
      </w:r>
      <w:r>
        <w:rPr>
          <w:b/>
          <w:bCs/>
        </w:rPr>
        <w:t xml:space="preserve"> </w:t>
      </w:r>
      <w:r>
        <w:rPr>
          <w:b/>
          <w:bCs/>
        </w:rPr>
        <w:t xml:space="preserve">PostgreSQL (online)</w:t>
      </w:r>
      <w:r>
        <w:t xml:space="preserve"> </w:t>
      </w:r>
      <w:r>
        <w:t xml:space="preserve">— the same schema and the same seed, selected by</w:t>
      </w:r>
      <w:r>
        <w:t xml:space="preserve"> </w:t>
      </w:r>
      <w:r>
        <w:rPr>
          <w:rStyle w:val="VerbatimChar"/>
        </w:rPr>
        <w:t xml:space="preserve">DATABASE_TARGET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for every required variable.</w:t>
      </w:r>
    </w:p>
    <w:bookmarkStart w:id="14" w:name="checks"/>
    <w:p>
      <w:pPr>
        <w:pStyle w:val="Heading3"/>
      </w:pPr>
      <w:r>
        <w:t xml:space="preserve">Checks</w:t>
      </w:r>
    </w:p>
    <w:p>
      <w:pPr>
        <w:pStyle w:val="SourceCode"/>
      </w:pPr>
      <w:r>
        <w:rPr>
          <w:rStyle w:val="VerbatimChar"/>
        </w:rPr>
        <w:t xml:space="preserve">npm run typecheck    # TypeScript, no emit</w:t>
      </w:r>
      <w:r>
        <w:br/>
      </w:r>
      <w:r>
        <w:rPr>
          <w:rStyle w:val="VerbatimChar"/>
        </w:rPr>
        <w:t xml:space="preserve">npm test             # 53 tests</w:t>
      </w:r>
      <w:r>
        <w:br/>
      </w:r>
      <w:r>
        <w:rPr>
          <w:rStyle w:val="VerbatimChar"/>
        </w:rPr>
        <w:t xml:space="preserve">npm run build        # production build</w:t>
      </w:r>
    </w:p>
    <w:p>
      <w:pPr>
        <w:pStyle w:val="FirstParagraph"/>
      </w:pPr>
      <w:r>
        <w:t xml:space="preserve">CI runs these three steps against a throwaway PostgreSQL on every push and pull 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.github/workflows/ci.yml</w:t>
      </w:r>
      <w:r>
        <w:t xml:space="preserve">).</w:t>
      </w:r>
    </w:p>
    <w:bookmarkEnd w:id="14"/>
    <w:bookmarkEnd w:id="15"/>
    <w:bookmarkStart w:id="16" w:name="security-model"/>
    <w:p>
      <w:pPr>
        <w:pStyle w:val="Heading2"/>
      </w:pPr>
      <w:r>
        <w:t xml:space="preserve">6. Security Model</w:t>
      </w:r>
    </w:p>
    <w:p>
      <w:pPr>
        <w:pStyle w:val="FirstParagraph"/>
      </w:pPr>
      <w:r>
        <w:t xml:space="preserve">Authentication and authorisation are enforced</w:t>
      </w:r>
      <w:r>
        <w:t xml:space="preserve"> </w:t>
      </w:r>
      <w:r>
        <w:rPr>
          <w:b/>
          <w:bCs/>
        </w:rPr>
        <w:t xml:space="preserve">on the server</w:t>
      </w:r>
      <w:r>
        <w:t xml:space="preserve">. The browser is never</w:t>
      </w:r>
      <w:r>
        <w:t xml:space="preserve"> </w:t>
      </w:r>
      <w:r>
        <w:t xml:space="preserve">trusted to report who it is or what role it holds.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src/lib/session.ts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HMAC-SHA256 signed token in an</w:t>
            </w:r>
            <w:r>
              <w:t xml:space="preserve"> </w:t>
            </w:r>
            <w:r>
              <w:rPr>
                <w:rStyle w:val="VerbatimChar"/>
              </w:rPr>
              <w:t xml:space="preserve">httpOnly</w:t>
            </w:r>
            <w:r>
              <w:t xml:space="preserve"> </w:t>
            </w:r>
            <w:r>
              <w:t xml:space="preserve">cookie; forged, re-signed or expired tokens are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src/proxy.ts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Rejects unauthenticated traffic before any page or route handler runs; enforces each role’s</w:t>
            </w:r>
            <w:r>
              <w:t xml:space="preserve"> </w:t>
            </w:r>
            <w:r>
              <w:rPr>
                <w:rStyle w:val="VerbatimChar"/>
              </w:rPr>
              <w:t xml:space="preserve">allowedRoutes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src/lib/api-policy.ts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Declares who may call each endpoint and method —</w:t>
            </w:r>
            <w:r>
              <w:t xml:space="preserve"> </w:t>
            </w:r>
            <w:r>
              <w:rPr>
                <w:b/>
                <w:bCs/>
              </w:rPr>
              <w:t xml:space="preserve">fails closed</w:t>
            </w:r>
            <w:r>
              <w:t xml:space="preserve"> </w:t>
            </w:r>
            <w:r>
              <w:t xml:space="preserve">for anything unlisted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Enforcement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src/lib/api-guard.ts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withAuth()</w:t>
            </w:r>
            <w:r>
              <w:t xml:space="preserve"> </w:t>
            </w:r>
            <w:r>
              <w:t xml:space="preserve">wraps every route handler and applies the 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src/lib/validation.ts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Type, length and range checks on safety-critical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src/lib/rate-limit.ts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Throttles repeated failed sign-in attempts</w:t>
            </w:r>
          </w:p>
        </w:tc>
      </w:tr>
    </w:tbl>
    <w:p>
      <w:pPr>
        <w:pStyle w:val="BodyText"/>
      </w:pPr>
      <w:r>
        <w:t xml:space="preserve">Consequences worth knowing:</w:t>
      </w:r>
    </w:p>
    <w:p>
      <w:pPr>
        <w:pStyle w:val="Compact"/>
        <w:numPr>
          <w:ilvl w:val="0"/>
          <w:numId w:val="1002"/>
        </w:numPr>
      </w:pPr>
      <w:r>
        <w:t xml:space="preserve">The acting identity on every write — audit entries, vitals, consultation notes,</w:t>
      </w:r>
      <w:r>
        <w:t xml:space="preserve"> </w:t>
      </w:r>
      <w:r>
        <w:t xml:space="preserve">dispensing, payments — is taken from the session, never from the request body, so</w:t>
      </w:r>
      <w:r>
        <w:t xml:space="preserve"> </w:t>
      </w:r>
      <w:r>
        <w:t xml:space="preserve">records cannot be filed under another person’s name.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Data Protection Commission constraint on the Super Admin is enforced, not merely</w:t>
      </w:r>
      <w:r>
        <w:rPr>
          <w:b/>
          <w:bCs/>
        </w:rPr>
        <w:t xml:space="preserve"> </w:t>
      </w:r>
      <w:r>
        <w:rPr>
          <w:b/>
          <w:bCs/>
        </w:rPr>
        <w:t xml:space="preserve">documented</w:t>
      </w:r>
      <w:r>
        <w:t xml:space="preserve">: the system administrator cannot read</w:t>
      </w:r>
      <w:r>
        <w:t xml:space="preserve"> </w:t>
      </w:r>
      <w:r>
        <w:rPr>
          <w:rStyle w:val="VerbatimChar"/>
        </w:rPr>
        <w:t xml:space="preserve">/api/patients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/api/vitals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/api/encounters</w:t>
      </w:r>
      <w:r>
        <w:t xml:space="preserve">. Executive dashboards read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, which returns aggregate</w:t>
      </w:r>
      <w:r>
        <w:t xml:space="preserve"> </w:t>
      </w:r>
      <w:r>
        <w:t xml:space="preserve">counts containing no patient identifiers.</w:t>
      </w:r>
    </w:p>
    <w:p>
      <w:pPr>
        <w:pStyle w:val="Compact"/>
        <w:numPr>
          <w:ilvl w:val="0"/>
          <w:numId w:val="1002"/>
        </w:numPr>
      </w:pPr>
      <w:r>
        <w:t xml:space="preserve">Changing the role displayed in the browser grants nothing; the server reads the role</w:t>
      </w:r>
      <w:r>
        <w:t xml:space="preserve"> </w:t>
      </w:r>
      <w:r>
        <w:t xml:space="preserve">from the signed cookie.</w:t>
      </w:r>
    </w:p>
    <w:bookmarkEnd w:id="16"/>
    <w:bookmarkStart w:id="17" w:name="where-the-data-comes-from"/>
    <w:p>
      <w:pPr>
        <w:pStyle w:val="Heading2"/>
      </w:pPr>
      <w:r>
        <w:t xml:space="preserve">7. Where the Data Comes From</w:t>
      </w:r>
    </w:p>
    <w:p>
      <w:pPr>
        <w:pStyle w:val="FirstParagraph"/>
      </w:pPr>
      <w:r>
        <w:t xml:space="preserve">Every clinical, financial and administrative screen reads live PostgreSQL rows through the</w:t>
      </w:r>
      <w:r>
        <w:t xml:space="preserve"> </w:t>
      </w:r>
      <w:r>
        <w:t xml:space="preserve">API. There is</w:t>
      </w:r>
      <w:r>
        <w:t xml:space="preserve"> </w:t>
      </w:r>
      <w:r>
        <w:rPr>
          <w:b/>
          <w:bCs/>
        </w:rPr>
        <w:t xml:space="preserve">no fallback sample data in the application</w:t>
      </w:r>
      <w:r>
        <w:t xml:space="preserve"> </w:t>
      </w:r>
      <w:r>
        <w:t xml:space="preserve">— an empty table produces an</w:t>
      </w:r>
      <w:r>
        <w:t xml:space="preserve"> </w:t>
      </w:r>
      <w:r>
        <w:t xml:space="preserve">empty state, never a fabricated record.</w:t>
      </w:r>
    </w:p>
    <w:p>
      <w:pPr>
        <w:pStyle w:val="BodyText"/>
      </w:pPr>
      <w:r>
        <w:rPr>
          <w:rStyle w:val="VerbatimChar"/>
        </w:rPr>
        <w:t xml:space="preserve">src/lib/adapters.ts</w:t>
      </w:r>
      <w:r>
        <w:t xml:space="preserve"> </w:t>
      </w:r>
      <w:r>
        <w:t xml:space="preserve">is the single translation point between Prisma rows and the</w:t>
      </w:r>
      <w:r>
        <w:t xml:space="preserve"> </w:t>
      </w:r>
      <w:r>
        <w:t xml:space="preserve">client-facing types, so storage-oriented names and</w:t>
      </w:r>
      <w:r>
        <w:t xml:space="preserve"> </w:t>
      </w:r>
      <w:r>
        <w:rPr>
          <w:rStyle w:val="VerbatimChar"/>
        </w:rPr>
        <w:t xml:space="preserve">SCREAMING_SNAKE</w:t>
      </w:r>
      <w:r>
        <w:t xml:space="preserve"> </w:t>
      </w:r>
      <w:r>
        <w:t xml:space="preserve">enums</w:t>
      </w:r>
      <w:r>
        <w:t xml:space="preserve"> </w:t>
      </w:r>
      <w:r>
        <w:t xml:space="preserve">(</w:t>
      </w:r>
      <w:r>
        <w:rPr>
          <w:rStyle w:val="VerbatimChar"/>
        </w:rPr>
        <w:t xml:space="preserve">IN_CONSULTATION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bedType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totalClaimGhc</w:t>
      </w:r>
      <w:r>
        <w:t xml:space="preserve">) become what the interface renders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 Consultation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totalClaimAmountGhc</w:t>
      </w:r>
      <w:r>
        <w:t xml:space="preserve">).</w:t>
      </w:r>
    </w:p>
    <w:p>
      <w:pPr>
        <w:pStyle w:val="BodyText"/>
      </w:pPr>
      <w:r>
        <w:t xml:space="preserve">DHIMS2 figures are</w:t>
      </w:r>
      <w:r>
        <w:t xml:space="preserve"> </w:t>
      </w:r>
      <w:r>
        <w:rPr>
          <w:b/>
          <w:bCs/>
        </w:rPr>
        <w:t xml:space="preserve">computed live</w:t>
      </w:r>
      <w:r>
        <w:t xml:space="preserve"> </w:t>
      </w:r>
      <w:r>
        <w:t xml:space="preserve">from encounters, patients, admissions and claims. Only</w:t>
      </w:r>
      <w:r>
        <w:t xml:space="preserve"> </w:t>
      </w:r>
      <w:r>
        <w:t xml:space="preserve">the two figures the system has no other source for — deaths and maternal deliveries — are</w:t>
      </w:r>
      <w:r>
        <w:t xml:space="preserve"> </w:t>
      </w:r>
      <w:r>
        <w:t xml:space="preserve">entered by the records officer and stored in</w:t>
      </w:r>
      <w:r>
        <w:t xml:space="preserve"> </w:t>
      </w:r>
      <w:r>
        <w:rPr>
          <w:rStyle w:val="VerbatimChar"/>
        </w:rPr>
        <w:t xml:space="preserve">DhimsMonthlyReturn</w:t>
      </w:r>
      <w:r>
        <w:t xml:space="preserve">, exactly as on the paper</w:t>
      </w:r>
      <w:r>
        <w:t xml:space="preserve"> </w:t>
      </w:r>
      <w:r>
        <w:t xml:space="preserve">return.</w:t>
      </w:r>
    </w:p>
    <w:bookmarkEnd w:id="17"/>
    <w:bookmarkStart w:id="18" w:name="appearance"/>
    <w:p>
      <w:pPr>
        <w:pStyle w:val="Heading2"/>
      </w:pPr>
      <w:r>
        <w:t xml:space="preserve">8. Appearance</w:t>
      </w:r>
    </w:p>
    <w:p>
      <w:pPr>
        <w:pStyle w:val="FirstParagraph"/>
      </w:pPr>
      <w:r>
        <w:rPr>
          <w:b/>
          <w:bCs/>
        </w:rPr>
        <w:t xml:space="preserve">Light is the default theme</w:t>
      </w:r>
      <w:r>
        <w:t xml:space="preserve"> </w:t>
      </w:r>
      <w:r>
        <w:t xml:space="preserve">across the public site and the staff portal. Users can switch</w:t>
      </w:r>
      <w:r>
        <w:t xml:space="preserve"> </w:t>
      </w:r>
      <w:r>
        <w:t xml:space="preserve">to dark from the toggle in the dashboard header or the public site navigation; the choice is</w:t>
      </w:r>
      <w:r>
        <w:t xml:space="preserve"> </w:t>
      </w:r>
      <w:r>
        <w:t xml:space="preserve">stored under</w:t>
      </w:r>
      <w:r>
        <w:t xml:space="preserve"> </w:t>
      </w:r>
      <w:r>
        <w:rPr>
          <w:rStyle w:val="VerbatimChar"/>
        </w:rPr>
        <w:t xml:space="preserve">hms_theme</w:t>
      </w:r>
      <w:r>
        <w:t xml:space="preserve"> </w:t>
      </w:r>
      <w:r>
        <w:t xml:space="preserve">and shared by both. A blocking script in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 </w:t>
      </w:r>
      <w:r>
        <w:t xml:space="preserve">applies the saved theme before first paint, so dark-mode users never see a flash of light</w:t>
      </w:r>
      <w:r>
        <w:t xml:space="preserve"> </w:t>
      </w:r>
      <w:r>
        <w:t xml:space="preserve">content.</w:t>
      </w:r>
    </w:p>
    <w:bookmarkEnd w:id="18"/>
    <w:bookmarkStart w:id="19" w:name="known-limitations"/>
    <w:p>
      <w:pPr>
        <w:pStyle w:val="Heading2"/>
      </w:pPr>
      <w:r>
        <w:t xml:space="preserve">9. Known Limitations</w:t>
      </w:r>
    </w:p>
    <w:p>
      <w:pPr>
        <w:pStyle w:val="FirstParagraph"/>
      </w:pPr>
      <w:r>
        <w:t xml:space="preserve">These are stated plainly rather than omitted; each is expanded in</w:t>
      </w:r>
      <w:r>
        <w:t xml:space="preserve"> </w:t>
      </w:r>
      <w:r>
        <w:rPr>
          <w:rStyle w:val="VerbatimChar"/>
        </w:rPr>
        <w:t xml:space="preserve">docs/Maintenance_and_Evolution.md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live NHIA or NIA integration.</w:t>
      </w:r>
      <w:r>
        <w:t xml:space="preserve"> </w:t>
      </w:r>
      <w:r>
        <w:t xml:space="preserve">Ghana Card and NHIS membership numbers are validated</w:t>
      </w:r>
      <w:r>
        <w:t xml:space="preserve"> </w:t>
      </w:r>
      <w:r>
        <w:t xml:space="preserve">for format and internal consistency, not verified against the national registries, which</w:t>
      </w:r>
      <w:r>
        <w:t xml:space="preserve"> </w:t>
      </w:r>
      <w:r>
        <w:t xml:space="preserve">require an accredited production integration agreement.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PACS imaging is metadata-only.</w:t>
      </w:r>
      <w:r>
        <w:t xml:space="preserve"> </w:t>
      </w:r>
      <w:r>
        <w:t xml:space="preserve">Radiology orders, reports and accession numbers are</w:t>
      </w:r>
      <w:r>
        <w:t xml:space="preserve"> </w:t>
      </w:r>
      <w:r>
        <w:t xml:space="preserve">managed in full; DICOM image storage and a viewer are not implemented.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Rate limiting is process-local.</w:t>
      </w:r>
      <w:r>
        <w:t xml:space="preserve"> </w:t>
      </w:r>
      <w:r>
        <w:rPr>
          <w:rStyle w:val="VerbatimChar"/>
        </w:rPr>
        <w:t xml:space="preserve">src/lib/rate-limit.ts</w:t>
      </w:r>
      <w:r>
        <w:t xml:space="preserve"> </w:t>
      </w:r>
      <w:r>
        <w:t xml:space="preserve">holds counters in memory, so</w:t>
      </w:r>
      <w:r>
        <w:t xml:space="preserve"> </w:t>
      </w:r>
      <w:r>
        <w:t xml:space="preserve">on a multi-instance deployment each instance counts separately. A shared store (Redis) is</w:t>
      </w:r>
      <w:r>
        <w:t xml:space="preserve"> </w:t>
      </w:r>
      <w:r>
        <w:t xml:space="preserve">required for production-grade throttling.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DHIMS2 export is on-screen only.</w:t>
      </w:r>
      <w:r>
        <w:t xml:space="preserve"> </w:t>
      </w:r>
      <w:r>
        <w:t xml:space="preserve">Figures are computed correctly but are not yet</w:t>
      </w:r>
      <w:r>
        <w:t xml:space="preserve"> </w:t>
      </w:r>
      <w:r>
        <w:t xml:space="preserve">emitted as a DHIMS2-format file for upload.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clinical AI assistant requires a reachable Ollama host.</w:t>
      </w:r>
      <w:r>
        <w:t xml:space="preserve"> </w:t>
      </w:r>
      <w:r>
        <w:t xml:space="preserve">Without one it falls back</w:t>
      </w:r>
      <w:r>
        <w:t xml:space="preserve"> </w:t>
      </w:r>
      <w:r>
        <w:t xml:space="preserve">to a deterministic three-condition GSTG rule engine, which is safe but narrow.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Single audit-trail retention policy.</w:t>
      </w:r>
      <w:r>
        <w:t xml:space="preserve"> </w:t>
      </w:r>
      <w:r>
        <w:t xml:space="preserve">Audit entries are append-only but are not yet</w:t>
      </w:r>
      <w:r>
        <w:t xml:space="preserve"> </w:t>
      </w:r>
      <w:r>
        <w:t xml:space="preserve">archived to cold storage on a schedule.</w:t>
      </w:r>
    </w:p>
    <w:bookmarkEnd w:id="19"/>
    <w:bookmarkStart w:id="20" w:name="notes-for-testing"/>
    <w:p>
      <w:pPr>
        <w:pStyle w:val="Heading2"/>
      </w:pPr>
      <w:r>
        <w:t xml:space="preserve">10. Notes for Testing</w:t>
      </w:r>
    </w:p>
    <w:p>
      <w:pPr>
        <w:pStyle w:val="Compact"/>
        <w:numPr>
          <w:ilvl w:val="0"/>
          <w:numId w:val="1004"/>
        </w:numPr>
      </w:pPr>
      <w:r>
        <w:t xml:space="preserve">The landing page is public;</w:t>
      </w:r>
      <w:r>
        <w:t xml:space="preserve"> </w:t>
      </w:r>
      <w:r>
        <w:rPr>
          <w:b/>
          <w:bCs/>
        </w:rPr>
        <w:t xml:space="preserve">every other page redirects to sign-in</w:t>
      </w:r>
      <w:r>
        <w:t xml:space="preserve">. A redirect to</w:t>
      </w:r>
      <w:r>
        <w:t xml:space="preserve"> </w:t>
      </w:r>
      <w:r>
        <w:rPr>
          <w:rStyle w:val="VerbatimChar"/>
        </w:rPr>
        <w:t xml:space="preserve">/auth/login?next=…</w:t>
      </w:r>
      <w:r>
        <w:t xml:space="preserve"> </w:t>
      </w:r>
      <w:r>
        <w:t xml:space="preserve">is correct behaviour, not a fault.</w:t>
      </w:r>
    </w:p>
    <w:p>
      <w:pPr>
        <w:pStyle w:val="Compact"/>
        <w:numPr>
          <w:ilvl w:val="0"/>
          <w:numId w:val="1004"/>
        </w:numPr>
      </w:pPr>
      <w:r>
        <w:t xml:space="preserve">Signing in as the administrator and opening a patient screen will show an access-denied</w:t>
      </w:r>
      <w:r>
        <w:t xml:space="preserve"> </w:t>
      </w:r>
      <w:r>
        <w:t xml:space="preserve">page.</w:t>
      </w:r>
      <w:r>
        <w:t xml:space="preserve"> </w:t>
      </w:r>
      <w:r>
        <w:rPr>
          <w:b/>
          <w:bCs/>
        </w:rPr>
        <w:t xml:space="preserve">This is the DPC rule working</w:t>
      </w:r>
      <w:r>
        <w:t xml:space="preserve">, not a defect — use the clinician account for</w:t>
      </w:r>
      <w:r>
        <w:t xml:space="preserve"> </w:t>
      </w:r>
      <w:r>
        <w:t xml:space="preserve">patient data.</w:t>
      </w:r>
    </w:p>
    <w:p>
      <w:pPr>
        <w:pStyle w:val="Compact"/>
        <w:numPr>
          <w:ilvl w:val="0"/>
          <w:numId w:val="1004"/>
        </w:numPr>
      </w:pPr>
      <w:r>
        <w:t xml:space="preserve">Different roles legitimately see different navigation and different data. Compare the two</w:t>
      </w:r>
      <w:r>
        <w:t xml:space="preserve"> </w:t>
      </w:r>
      <w:r>
        <w:t xml:space="preserve">supplied accounts to observe role separation.</w:t>
      </w:r>
    </w:p>
    <w:p>
      <w:pPr>
        <w:pStyle w:val="Compact"/>
        <w:numPr>
          <w:ilvl w:val="0"/>
          <w:numId w:val="1004"/>
        </w:numPr>
      </w:pPr>
      <w:r>
        <w:t xml:space="preserve">The seeded demonstration data is small on purpose so that every figure on screen can be</w:t>
      </w:r>
      <w:r>
        <w:t xml:space="preserve"> </w:t>
      </w:r>
      <w:r>
        <w:t xml:space="preserve">traced back to a specific database row.</w:t>
      </w:r>
    </w:p>
    <w:bookmarkEnd w:id="20"/>
    <w:bookmarkStart w:id="22" w:name="documentation"/>
    <w:p>
      <w:pPr>
        <w:pStyle w:val="Heading2"/>
      </w:pPr>
      <w:r>
        <w:t xml:space="preserve">11. Documentation</w:t>
      </w:r>
    </w:p>
    <w:p>
      <w:pPr>
        <w:pStyle w:val="FirstParagraph"/>
      </w:pPr>
      <w:r>
        <w:t xml:space="preserve">Full documentation is in</w:t>
      </w:r>
      <w:r>
        <w:t xml:space="preserve"> </w:t>
      </w:r>
      <w:hyperlink r:id="rId21">
        <w:r>
          <w:rPr>
            <w:rStyle w:val="VerbatimChar"/>
          </w:rPr>
          <w:t xml:space="preserve">docs/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Project_Documentation.md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complete 25-section project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Design_Documentation.md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and all design artefacts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Testing_Report.md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strategy, executed evidence and defect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User_Manual.md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Role-by-role operating instructions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Maintenance_and_Evolution.md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Maintenance strategy and future roadmap</w:t>
            </w:r>
          </w:p>
        </w:tc>
      </w:tr>
    </w:tbl>
    <w:bookmarkEnd w:id="22"/>
    <w:bookmarkStart w:id="23" w:name="group-members"/>
    <w:p>
      <w:pPr>
        <w:pStyle w:val="Heading2"/>
      </w:pPr>
      <w:r>
        <w:t xml:space="preserve">12. Group Members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Major Contribution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Ernest Nketia Asubonterng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22424715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System Architect &amp; AI Integrator — software architecture, security model, database design, Ollama/GSTG clinical assistant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Nana Kwabena Asare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22424817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EMR consultation and ICD-10 diagnosis engine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Casper Kosi Asense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22425080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Patient Index, Ghana Card and NHIS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Aubrey Owusu Amoah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22424666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PACS radiology orders and diagnostic workflows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Thomas Nii Armah Okai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22425782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FEFO stock control and prescription dispensing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Abubakari Zubeiru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22425115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Inpatient bed management and DPC audit-log compliance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Frank Tandoh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22425049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Responsive layouts, design system and accessibility</w:t>
            </w:r>
          </w:p>
        </w:tc>
      </w:tr>
    </w:tbl>
    <w:bookmarkEnd w:id="23"/>
    <w:bookmarkStart w:id="24" w:name="acknowledgements"/>
    <w:p>
      <w:pPr>
        <w:pStyle w:val="Heading2"/>
      </w:pPr>
      <w:r>
        <w:t xml:space="preserve">13. Acknowledgements</w:t>
      </w:r>
    </w:p>
    <w:p>
      <w:pPr>
        <w:pStyle w:val="FirstParagraph"/>
      </w:pPr>
      <w:r>
        <w:t xml:space="preserve">Third-party frameworks, libraries and services used in this project are acknowledged in</w:t>
      </w:r>
      <w:r>
        <w:t xml:space="preserve"> </w:t>
      </w:r>
      <w:r>
        <w:rPr>
          <w:rStyle w:val="VerbatimChar"/>
        </w:rPr>
        <w:t xml:space="preserve">docs/Project_Documentation.md</w:t>
      </w:r>
      <w:r>
        <w:t xml:space="preserve"> </w:t>
      </w:r>
      <w:r>
        <w:t xml:space="preserve">§24 (References) and 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 Principal</w:t>
      </w:r>
      <w:r>
        <w:t xml:space="preserve"> </w:t>
      </w:r>
      <w:r>
        <w:t xml:space="preserve">dependencies: Next.js and React (Vercel, Meta), Prisma, Tailwind CSS, Radix UI, Tabler</w:t>
      </w:r>
      <w:r>
        <w:t xml:space="preserve"> </w:t>
      </w:r>
      <w:r>
        <w:t xml:space="preserve">Icons, bcryptjs, ApexCharts, Ollama, Neon and Vercel.</w:t>
      </w:r>
    </w:p>
    <w:p>
      <w:pPr>
        <w:pStyle w:val="BodyText"/>
      </w:pPr>
      <w:r>
        <w:t xml:space="preserve">Clinical and regulatory reference material: Ghana Standard Treatment Guidelines (Ministry of</w:t>
      </w:r>
      <w:r>
        <w:t xml:space="preserve"> </w:t>
      </w:r>
      <w:r>
        <w:t xml:space="preserve">Health), NHIA G-DRG tariff structure, Ghana Health Service DHIMS2 reporting requirements,</w:t>
      </w:r>
      <w:r>
        <w:t xml:space="preserve"> </w:t>
      </w:r>
      <w:r>
        <w:t xml:space="preserve">HeFRA facility licensing framework, and the Data Protection Act, 2012 (Act 843).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docs/" TargetMode="External" /><Relationship Type="http://schemas.openxmlformats.org/officeDocument/2006/relationships/hyperlink" Id="rId9" Target="https://healtheasy-g.vercel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ocs/" TargetMode="External" /><Relationship Type="http://schemas.openxmlformats.org/officeDocument/2006/relationships/hyperlink" Id="rId9" Target="https://healtheasy-g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en-GB</dc:language>
  <cp:keywords/>
  <dcterms:created xsi:type="dcterms:W3CDTF">2026-08-14T12:04:12Z</dcterms:created>
  <dcterms:modified xsi:type="dcterms:W3CDTF">2026-08-14T12:04:12Z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