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Software Requirements Specification</w:t>
      </w:r>
    </w:p>
    <w:p>
      <w:pPr>
        <w:pStyle w:val="Subtitle"/>
      </w:pPr>
      <w:r>
        <w:t xml:space="preserve">HealthEasy-G Hospital Management System</w:t>
      </w:r>
    </w:p>
    <w:p>
      <w:pPr>
        <w:pStyle w:val="Author"/>
      </w:pPr>
      <w:r>
        <w:t xml:space="preserve">Group: Architects — CSCD602 Advance Software Development, University of Ghana</w:t>
      </w:r>
    </w:p>
    <w:p>
      <w:pPr>
        <w:pStyle w:val="Date"/>
      </w:pPr>
      <w:r>
        <w:t xml:space="preserve">August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2" w:name="software-requirements-specification"/>
    <w:p>
      <w:pPr>
        <w:pStyle w:val="Heading1"/>
      </w:pPr>
      <w:r>
        <w:t xml:space="preserve">Software Requirements Specification</w:t>
      </w:r>
    </w:p>
    <w:p>
      <w:pPr>
        <w:pStyle w:val="FirstParagraph"/>
      </w:pPr>
      <w:r>
        <w:rPr>
          <w:b/>
          <w:bCs/>
        </w:rPr>
        <w:t xml:space="preserve">Project:</w:t>
      </w:r>
      <w:r>
        <w:t xml:space="preserve"> </w:t>
      </w:r>
      <w:r>
        <w:t xml:space="preserve">HealthEasy — HealthEasy-G Hospital Management System</w:t>
      </w:r>
      <w:r>
        <w:t xml:space="preserve"> </w:t>
      </w:r>
      <w:r>
        <w:rPr>
          <w:b/>
          <w:bCs/>
        </w:rPr>
        <w:t xml:space="preserve">Group:</w:t>
      </w:r>
      <w:r>
        <w:t xml:space="preserve"> </w:t>
      </w:r>
      <w:r>
        <w:t xml:space="preserve">Architects</w:t>
      </w:r>
      <w:r>
        <w:t xml:space="preserve"> </w:t>
      </w:r>
      <w:r>
        <w:rPr>
          <w:b/>
          <w:bCs/>
        </w:rPr>
        <w:t xml:space="preserve">Course:</w:t>
      </w:r>
      <w:r>
        <w:t xml:space="preserve"> </w:t>
      </w:r>
      <w:r>
        <w:t xml:space="preserve">CSCD602 Advance Software Development</w:t>
      </w:r>
      <w:r>
        <w:t xml:space="preserve"> </w:t>
      </w:r>
      <w:r>
        <w:rPr>
          <w:b/>
          <w:bCs/>
        </w:rPr>
        <w:t xml:space="preserve">Institution:</w:t>
      </w:r>
      <w:r>
        <w:t xml:space="preserve"> </w:t>
      </w:r>
      <w:r>
        <w:t xml:space="preserve">University of Ghana</w:t>
      </w:r>
      <w:r>
        <w:t xml:space="preserve"> </w:t>
      </w:r>
      <w:r>
        <w:rPr>
          <w:b/>
          <w:bCs/>
        </w:rPr>
        <w:t xml:space="preserve">Document version:</w:t>
      </w:r>
      <w:r>
        <w:t xml:space="preserve"> </w:t>
      </w:r>
      <w:r>
        <w:t xml:space="preserve">1.0</w:t>
      </w:r>
      <w:r>
        <w:t xml:space="preserve"> </w:t>
      </w:r>
      <w:r>
        <w:rPr>
          <w:b/>
          <w:bCs/>
        </w:rPr>
        <w:t xml:space="preserve">Live system:</w:t>
      </w:r>
      <w:r>
        <w:t xml:space="preserve"> </w:t>
      </w:r>
      <w:hyperlink r:id="rId9">
        <w:r>
          <w:rPr>
            <w:rStyle w:val="Hyperlink"/>
          </w:rPr>
          <w:t xml:space="preserve">https://healtheasy-g.vercel.app</w:t>
        </w:r>
      </w:hyperlink>
      <w:r>
        <w:t xml:space="preserve"> </w:t>
      </w:r>
      <w:r>
        <w:rPr>
          <w:b/>
          <w:bCs/>
        </w:rPr>
        <w:t xml:space="preserve">Repository:</w:t>
      </w:r>
      <w:r>
        <w:t xml:space="preserve"> </w:t>
      </w:r>
      <w:hyperlink r:id="rId10">
        <w:r>
          <w:rPr>
            <w:rStyle w:val="Hyperlink"/>
          </w:rPr>
          <w:t xml:space="preserve">https://github.com/NketiaAsubontengErnest/HealthEasy-G</w:t>
        </w:r>
      </w:hyperlink>
    </w:p>
    <w:bookmarkStart w:id="11" w:name="group-members"/>
    <w:p>
      <w:pPr>
        <w:pStyle w:val="Heading2"/>
      </w:pPr>
      <w:r>
        <w:t xml:space="preserve">Group Members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Major Contribution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Ernest Nketia Asubonterng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22424715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 System Architect &amp; AI Integrator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Nana Kwabena Asare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22424817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Clinical EMR and ICD-10 diagnosis engine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Casper Kosi Asense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22425080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Master Patient Index, Ghana Card and NHIS 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Aubrey Owusu Amoah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22424666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PACS radiology orders and diagnostic workflows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Thomas Nii Armah Okai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22425782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Pharmacy FEFO stock control and dispensing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Abubakari Zubeiru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22425115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Inpatient bed management and audit-log compliance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Frank Tandoh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22425049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Responsive layouts, design system and accessibility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End w:id="12"/>
    <w:bookmarkStart w:id="18" w:name="introduction"/>
    <w:p>
      <w:pPr>
        <w:pStyle w:val="Heading1"/>
      </w:pPr>
      <w:r>
        <w:t xml:space="preserve">1. Introduction</w:t>
      </w:r>
    </w:p>
    <w:bookmarkStart w:id="13" w:name="purpose"/>
    <w:p>
      <w:pPr>
        <w:pStyle w:val="Heading2"/>
      </w:pPr>
      <w:r>
        <w:t xml:space="preserve">1.1 Purpose</w:t>
      </w:r>
    </w:p>
    <w:p>
      <w:pPr>
        <w:pStyle w:val="FirstParagraph"/>
      </w:pPr>
      <w:r>
        <w:t xml:space="preserve">This document specifies the requirements for</w:t>
      </w:r>
      <w:r>
        <w:t xml:space="preserve"> </w:t>
      </w:r>
      <w:r>
        <w:rPr>
          <w:b/>
          <w:bCs/>
        </w:rPr>
        <w:t xml:space="preserve">HealthEasy-G</w:t>
      </w:r>
      <w:r>
        <w:t xml:space="preserve">, a Hospital Management System</w:t>
      </w:r>
      <w:r>
        <w:t xml:space="preserve"> </w:t>
      </w:r>
      <w:r>
        <w:t xml:space="preserve">(HMS) for healthcare facilities operating under the Ghana Health Service. It is written for</w:t>
      </w:r>
      <w:r>
        <w:t xml:space="preserve"> </w:t>
      </w:r>
      <w:r>
        <w:t xml:space="preserve">the project supervisor and examiner, the development team, and any future maintainer of the</w:t>
      </w:r>
      <w:r>
        <w:t xml:space="preserve"> </w:t>
      </w:r>
      <w:r>
        <w:t xml:space="preserve">system.</w:t>
      </w:r>
    </w:p>
    <w:p>
      <w:pPr>
        <w:pStyle w:val="BodyText"/>
      </w:pPr>
      <w:r>
        <w:t xml:space="preserve">The specification covers the complete system: patient administration, clinical care,</w:t>
      </w:r>
      <w:r>
        <w:t xml:space="preserve"> </w:t>
      </w:r>
      <w:r>
        <w:t xml:space="preserve">diagnostics, inpatient management, pharmacy, revenue collection, national health insurance</w:t>
      </w:r>
      <w:r>
        <w:t xml:space="preserve"> </w:t>
      </w:r>
      <w:r>
        <w:t xml:space="preserve">claims, statutory reporting and system governance.</w:t>
      </w:r>
    </w:p>
    <w:bookmarkEnd w:id="13"/>
    <w:bookmarkStart w:id="14" w:name="scope"/>
    <w:p>
      <w:pPr>
        <w:pStyle w:val="Heading2"/>
      </w:pPr>
      <w:r>
        <w:t xml:space="preserve">1.2 Scope</w:t>
      </w:r>
    </w:p>
    <w:p>
      <w:pPr>
        <w:pStyle w:val="FirstParagraph"/>
      </w:pPr>
      <w:r>
        <w:t xml:space="preserve">HealthEasy-G is a multi-facility, multi-role web application that maintains a single</w:t>
      </w:r>
      <w:r>
        <w:t xml:space="preserve"> </w:t>
      </w:r>
      <w:r>
        <w:t xml:space="preserve">longitudinal record per patient across every department of a hospital.</w:t>
      </w:r>
    </w:p>
    <w:p>
      <w:pPr>
        <w:pStyle w:val="BodyText"/>
      </w:pPr>
      <w:r>
        <w:rPr>
          <w:b/>
          <w:bCs/>
        </w:rPr>
        <w:t xml:space="preserve">In scope:</w:t>
      </w:r>
    </w:p>
    <w:p>
      <w:pPr>
        <w:pStyle w:val="Compact"/>
        <w:numPr>
          <w:ilvl w:val="0"/>
          <w:numId w:val="1001"/>
        </w:numPr>
      </w:pPr>
      <w:r>
        <w:t xml:space="preserve">A Master Patient Index keyed on the Ghana Card number.</w:t>
      </w:r>
    </w:p>
    <w:p>
      <w:pPr>
        <w:pStyle w:val="Compact"/>
        <w:numPr>
          <w:ilvl w:val="0"/>
          <w:numId w:val="1001"/>
        </w:numPr>
      </w:pPr>
      <w:r>
        <w:t xml:space="preserve">Queue and patient-flow management across departments.</w:t>
      </w:r>
    </w:p>
    <w:p>
      <w:pPr>
        <w:pStyle w:val="Compact"/>
        <w:numPr>
          <w:ilvl w:val="0"/>
          <w:numId w:val="1001"/>
        </w:numPr>
      </w:pPr>
      <w:r>
        <w:t xml:space="preserve">Triage vital signs with Emergency Severity Index scoring.</w:t>
      </w:r>
    </w:p>
    <w:p>
      <w:pPr>
        <w:pStyle w:val="Compact"/>
        <w:numPr>
          <w:ilvl w:val="0"/>
          <w:numId w:val="1001"/>
        </w:numPr>
      </w:pPr>
      <w:r>
        <w:t xml:space="preserve">Electronic Medical Records with ICD-10 diagnosis coding and clinical ordering.</w:t>
      </w:r>
    </w:p>
    <w:p>
      <w:pPr>
        <w:pStyle w:val="Compact"/>
        <w:numPr>
          <w:ilvl w:val="0"/>
          <w:numId w:val="1001"/>
        </w:numPr>
      </w:pPr>
      <w:r>
        <w:t xml:space="preserve">Laboratory Information System workflow from order to verified result.</w:t>
      </w:r>
    </w:p>
    <w:p>
      <w:pPr>
        <w:pStyle w:val="Compact"/>
        <w:numPr>
          <w:ilvl w:val="0"/>
          <w:numId w:val="1001"/>
        </w:numPr>
      </w:pPr>
      <w:r>
        <w:t xml:space="preserve">Radiology ordering and reporting (metadata; DICOM storage is excluded).</w:t>
      </w:r>
    </w:p>
    <w:p>
      <w:pPr>
        <w:pStyle w:val="Compact"/>
        <w:numPr>
          <w:ilvl w:val="0"/>
          <w:numId w:val="1001"/>
        </w:numPr>
      </w:pPr>
      <w:r>
        <w:t xml:space="preserve">Inpatient bed management and the medication administration record.</w:t>
      </w:r>
    </w:p>
    <w:p>
      <w:pPr>
        <w:pStyle w:val="Compact"/>
        <w:numPr>
          <w:ilvl w:val="0"/>
          <w:numId w:val="1001"/>
        </w:numPr>
      </w:pPr>
      <w:r>
        <w:t xml:space="preserve">Pharmacy stock control on a First-Expiry-First-Out basis, and dispensing.</w:t>
      </w:r>
    </w:p>
    <w:p>
      <w:pPr>
        <w:pStyle w:val="Compact"/>
        <w:numPr>
          <w:ilvl w:val="0"/>
          <w:numId w:val="1001"/>
        </w:numPr>
      </w:pPr>
      <w:r>
        <w:t xml:space="preserve">Billing, cashier collection and receipting.</w:t>
      </w:r>
    </w:p>
    <w:p>
      <w:pPr>
        <w:pStyle w:val="Compact"/>
        <w:numPr>
          <w:ilvl w:val="0"/>
          <w:numId w:val="1001"/>
        </w:numPr>
      </w:pPr>
      <w:r>
        <w:t xml:space="preserve">NHIS G-DRG claim line generation and batching.</w:t>
      </w:r>
    </w:p>
    <w:p>
      <w:pPr>
        <w:pStyle w:val="Compact"/>
        <w:numPr>
          <w:ilvl w:val="0"/>
          <w:numId w:val="1001"/>
        </w:numPr>
      </w:pPr>
      <w:r>
        <w:t xml:space="preserve">DHIMS2 monthly return computation.</w:t>
      </w:r>
    </w:p>
    <w:p>
      <w:pPr>
        <w:pStyle w:val="Compact"/>
        <w:numPr>
          <w:ilvl w:val="0"/>
          <w:numId w:val="1001"/>
        </w:numPr>
      </w:pPr>
      <w:r>
        <w:t xml:space="preserve">Role-based access control across 19 staff roles.</w:t>
      </w:r>
    </w:p>
    <w:p>
      <w:pPr>
        <w:pStyle w:val="Compact"/>
        <w:numPr>
          <w:ilvl w:val="0"/>
          <w:numId w:val="1001"/>
        </w:numPr>
      </w:pPr>
      <w:r>
        <w:t xml:space="preserve">An immutable audit trail satisfying Data Protection Commission expectations.</w:t>
      </w:r>
    </w:p>
    <w:p>
      <w:pPr>
        <w:pStyle w:val="Compact"/>
        <w:numPr>
          <w:ilvl w:val="0"/>
          <w:numId w:val="1001"/>
        </w:numPr>
      </w:pPr>
      <w:r>
        <w:t xml:space="preserve">A clinical decision-support assistant for prescribing.</w:t>
      </w:r>
    </w:p>
    <w:p>
      <w:pPr>
        <w:pStyle w:val="FirstParagraph"/>
      </w:pPr>
      <w:r>
        <w:rPr>
          <w:b/>
          <w:bCs/>
        </w:rPr>
        <w:t xml:space="preserve">Out of scope for this version:</w:t>
      </w:r>
    </w:p>
    <w:p>
      <w:pPr>
        <w:pStyle w:val="Compact"/>
        <w:numPr>
          <w:ilvl w:val="0"/>
          <w:numId w:val="1002"/>
        </w:numPr>
      </w:pPr>
      <w:r>
        <w:t xml:space="preserve">Live integration with the National Identification Authority or NHIA verification services.</w:t>
      </w:r>
    </w:p>
    <w:p>
      <w:pPr>
        <w:pStyle w:val="Compact"/>
        <w:numPr>
          <w:ilvl w:val="0"/>
          <w:numId w:val="1002"/>
        </w:numPr>
      </w:pPr>
      <w:r>
        <w:t xml:space="preserve">DICOM image storage, transmission and viewing.</w:t>
      </w:r>
    </w:p>
    <w:p>
      <w:pPr>
        <w:pStyle w:val="Compact"/>
        <w:numPr>
          <w:ilvl w:val="0"/>
          <w:numId w:val="1002"/>
        </w:numPr>
      </w:pPr>
      <w:r>
        <w:t xml:space="preserve">Payroll, human-resource management beyond staff licence tracking, and general ledger</w:t>
      </w:r>
      <w:r>
        <w:t xml:space="preserve"> </w:t>
      </w:r>
      <w:r>
        <w:t xml:space="preserve">accounting.</w:t>
      </w:r>
    </w:p>
    <w:p>
      <w:pPr>
        <w:pStyle w:val="Compact"/>
        <w:numPr>
          <w:ilvl w:val="0"/>
          <w:numId w:val="1002"/>
        </w:numPr>
      </w:pPr>
      <w:r>
        <w:t xml:space="preserve">Telemedicine and patient-facing portals.</w:t>
      </w:r>
    </w:p>
    <w:p>
      <w:pPr>
        <w:pStyle w:val="Compact"/>
        <w:numPr>
          <w:ilvl w:val="0"/>
          <w:numId w:val="1002"/>
        </w:numPr>
      </w:pPr>
      <w:r>
        <w:t xml:space="preserve">Mobile native applications.</w:t>
      </w:r>
    </w:p>
    <w:bookmarkEnd w:id="14"/>
    <w:bookmarkStart w:id="15" w:name="definitions-acronyms-and-abbreviations"/>
    <w:p>
      <w:pPr>
        <w:pStyle w:val="Heading2"/>
      </w:pPr>
      <w:r>
        <w:t xml:space="preserve">1.3 Definitions, Acronyms and Abbreviations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Admission, Discharge and Transfer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DHIMS2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District Health Information Management System, second generation — the Ghana Health Service national reporting platform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Protection Commission of Ghana, established under Act 843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EMR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Electronic Medical Record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Emergency Severity Index, a five-level triage acuity scale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FEFO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Expiry, First Out — stock rotation by expiry 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G-DRG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Ghana Diagnosis-Related Groupings, the NHIA tariff structure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Ghana Health Service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Ghana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national identity card issued by the National Identification Authority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HeFRA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Health Facilities Regulatory Agency, which licenses facilities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ICD-10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International Classification of Diseases, tenth revision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Medication Administration Record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Master Patient Index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Medical Record Number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NHIA / NHIS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National Health Insurance Authority / Scheme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OPD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Out-Patient Department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Picture Archiving and Communication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RBAC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Role-Based Access Control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GSTG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Ghana Standard Treatment Guidelines</w:t>
            </w:r>
          </w:p>
        </w:tc>
      </w:tr>
    </w:tbl>
    <w:bookmarkEnd w:id="15"/>
    <w:bookmarkStart w:id="16" w:name="references"/>
    <w:p>
      <w:pPr>
        <w:pStyle w:val="Heading2"/>
      </w:pPr>
      <w:r>
        <w:t xml:space="preserve">1.4 References</w:t>
      </w:r>
    </w:p>
    <w:p>
      <w:pPr>
        <w:pStyle w:val="Compact"/>
        <w:numPr>
          <w:ilvl w:val="0"/>
          <w:numId w:val="1003"/>
        </w:numPr>
      </w:pPr>
      <w:r>
        <w:t xml:space="preserve">Ghana Health Service,</w:t>
      </w:r>
      <w:r>
        <w:t xml:space="preserve"> </w:t>
      </w:r>
      <w:r>
        <w:rPr>
          <w:i/>
          <w:iCs/>
        </w:rPr>
        <w:t xml:space="preserve">Standard Operating Procedures for Health Information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National Health Insurance Authority,</w:t>
      </w:r>
      <w:r>
        <w:t xml:space="preserve"> </w:t>
      </w:r>
      <w:r>
        <w:rPr>
          <w:i/>
          <w:iCs/>
        </w:rPr>
        <w:t xml:space="preserve">G-DRG Tariff and Claims Submission Guidelines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Ministry of Health Ghana,</w:t>
      </w:r>
      <w:r>
        <w:t xml:space="preserve"> </w:t>
      </w:r>
      <w:r>
        <w:rPr>
          <w:i/>
          <w:iCs/>
        </w:rPr>
        <w:t xml:space="preserve">Standard Treatment Guidelines</w:t>
      </w:r>
      <w:r>
        <w:t xml:space="preserve">, 7th edition.</w:t>
      </w:r>
    </w:p>
    <w:p>
      <w:pPr>
        <w:pStyle w:val="Compact"/>
        <w:numPr>
          <w:ilvl w:val="0"/>
          <w:numId w:val="1003"/>
        </w:numPr>
      </w:pPr>
      <w:r>
        <w:t xml:space="preserve">Republic of Ghana,</w:t>
      </w:r>
      <w:r>
        <w:t xml:space="preserve"> </w:t>
      </w:r>
      <w:r>
        <w:rPr>
          <w:i/>
          <w:iCs/>
        </w:rPr>
        <w:t xml:space="preserve">Data Protection Act, 2012 (Act 843)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Health Facilities Regulatory Agency,</w:t>
      </w:r>
      <w:r>
        <w:t xml:space="preserve"> </w:t>
      </w:r>
      <w:r>
        <w:rPr>
          <w:i/>
          <w:iCs/>
        </w:rPr>
        <w:t xml:space="preserve">Facility Licensing Requirements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World Health Organization,</w:t>
      </w:r>
      <w:r>
        <w:t xml:space="preserve"> </w:t>
      </w:r>
      <w:r>
        <w:rPr>
          <w:i/>
          <w:iCs/>
        </w:rPr>
        <w:t xml:space="preserve">ICD-10 Classification of Diseases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IEEE,</w:t>
      </w:r>
      <w:r>
        <w:t xml:space="preserve"> </w:t>
      </w:r>
      <w:r>
        <w:rPr>
          <w:i/>
          <w:iCs/>
        </w:rPr>
        <w:t xml:space="preserve">Std 830-1998, Recommended Practice for Software Requirements Specifications</w:t>
      </w:r>
      <w:r>
        <w:t xml:space="preserve">.</w:t>
      </w:r>
    </w:p>
    <w:bookmarkEnd w:id="16"/>
    <w:bookmarkStart w:id="17" w:name="overview-of-the-document"/>
    <w:p>
      <w:pPr>
        <w:pStyle w:val="Heading2"/>
      </w:pPr>
      <w:r>
        <w:t xml:space="preserve">1.5 Overview of the Document</w:t>
      </w:r>
    </w:p>
    <w:p>
      <w:pPr>
        <w:pStyle w:val="FirstParagraph"/>
      </w:pPr>
      <w:r>
        <w:t xml:space="preserve">Section 2 describes the system in its operating context. Section 3 identifies stakeholders.</w:t>
      </w:r>
      <w:r>
        <w:t xml:space="preserve"> </w:t>
      </w:r>
      <w:r>
        <w:t xml:space="preserve">Section 4 records how requirements were gathered. Section 5 specifies functional</w:t>
      </w:r>
      <w:r>
        <w:t xml:space="preserve"> </w:t>
      </w:r>
      <w:r>
        <w:t xml:space="preserve">requirements. Section 6 specifies non-functional requirements. Sections 7 and 8 record</w:t>
      </w:r>
      <w:r>
        <w:t xml:space="preserve"> </w:t>
      </w:r>
      <w:r>
        <w:t xml:space="preserve">constraints and assumptions. Section 9 provides traceability.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5" w:name="overall-description"/>
    <w:p>
      <w:pPr>
        <w:pStyle w:val="Heading1"/>
      </w:pPr>
      <w:r>
        <w:t xml:space="preserve">2. Overall Description</w:t>
      </w:r>
    </w:p>
    <w:bookmarkStart w:id="19" w:name="product-perspective"/>
    <w:p>
      <w:pPr>
        <w:pStyle w:val="Heading2"/>
      </w:pPr>
      <w:r>
        <w:t xml:space="preserve">2.1 Product Perspective</w:t>
      </w:r>
    </w:p>
    <w:p>
      <w:pPr>
        <w:pStyle w:val="FirstParagraph"/>
      </w:pPr>
      <w:r>
        <w:t xml:space="preserve">HealthEasy-G is a self-contained web application. It replaces the paper folder system and</w:t>
      </w:r>
      <w:r>
        <w:t xml:space="preserve"> </w:t>
      </w:r>
      <w:r>
        <w:t xml:space="preserve">the disconnected spreadsheets that currently coexist in many Ghanaian facilities. It is not</w:t>
      </w:r>
      <w:r>
        <w:t xml:space="preserve"> </w:t>
      </w:r>
      <w:r>
        <w:t xml:space="preserve">a component of a larger product, but it is designed to interoperate with the national</w:t>
      </w:r>
      <w:r>
        <w:t xml:space="preserve"> </w:t>
      </w:r>
      <w:r>
        <w:t xml:space="preserve">systems a facility is obliged to report to:</w:t>
      </w:r>
    </w:p>
    <w:p>
      <w:pPr>
        <w:pStyle w:val="SourceCode"/>
      </w:pPr>
      <w:r>
        <w:rPr>
          <w:rStyle w:val="VerbatimChar"/>
        </w:rPr>
        <w:t xml:space="preserve">        National Identification          NHIA CLAIM-it            GHS DHIMS2</w:t>
      </w:r>
      <w:r>
        <w:br/>
      </w:r>
      <w:r>
        <w:rPr>
          <w:rStyle w:val="VerbatimChar"/>
        </w:rPr>
        <w:t xml:space="preserve">             Authority                   (claims)                 (returns)</w:t>
      </w:r>
      <w:r>
        <w:br/>
      </w:r>
      <w:r>
        <w:rPr>
          <w:rStyle w:val="VerbatimChar"/>
        </w:rPr>
        <w:t xml:space="preserve">                 │                           │                        │</w:t>
      </w:r>
      <w:r>
        <w:br/>
      </w:r>
      <w:r>
        <w:rPr>
          <w:rStyle w:val="VerbatimChar"/>
        </w:rPr>
        <w:t xml:space="preserve">                 │  (format validation       │  (batch export         │  (computed</w:t>
      </w:r>
      <w:r>
        <w:br/>
      </w:r>
      <w:r>
        <w:rPr>
          <w:rStyle w:val="VerbatimChar"/>
        </w:rPr>
        <w:t xml:space="preserve">                 │   today; live check       │   today; direct        │   figures today;</w:t>
      </w:r>
      <w:r>
        <w:br/>
      </w:r>
      <w:r>
        <w:rPr>
          <w:rStyle w:val="VerbatimChar"/>
        </w:rPr>
        <w:t xml:space="preserve">                 │   is future work)         │   API is future work)  │   file export is</w:t>
      </w:r>
      <w:r>
        <w:br/>
      </w:r>
      <w:r>
        <w:rPr>
          <w:rStyle w:val="VerbatimChar"/>
        </w:rPr>
        <w:t xml:space="preserve">                 │                           │                        │   future work)</w:t>
      </w:r>
      <w:r>
        <w:br/>
      </w:r>
      <w:r>
        <w:rPr>
          <w:rStyle w:val="VerbatimChar"/>
        </w:rPr>
        <w:t xml:space="preserve">        ┌────────┴───────────────────────────┴────────────────────────┴────────┐</w:t>
      </w:r>
      <w:r>
        <w:br/>
      </w:r>
      <w:r>
        <w:rPr>
          <w:rStyle w:val="VerbatimChar"/>
        </w:rPr>
        <w:t xml:space="preserve">        │                    HealthEasy-G Hospital Management System           │</w:t>
      </w:r>
      <w:r>
        <w:br/>
      </w:r>
      <w:r>
        <w:rPr>
          <w:rStyle w:val="VerbatimChar"/>
        </w:rPr>
        <w:t xml:space="preserve">        └───────────────────────────────────────────────────────────────────────┘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│                    │                     │</w:t>
      </w:r>
      <w:r>
        <w:br/>
      </w:r>
      <w:r>
        <w:rPr>
          <w:rStyle w:val="VerbatimChar"/>
        </w:rPr>
        <w:t xml:space="preserve">           Facility staff       PostgreSQL             Ollama clinical</w:t>
      </w:r>
      <w:r>
        <w:br/>
      </w:r>
      <w:r>
        <w:rPr>
          <w:rStyle w:val="VerbatimChar"/>
        </w:rPr>
        <w:t xml:space="preserve">           (19 roles)           database               assistant (optional)</w:t>
      </w:r>
    </w:p>
    <w:bookmarkEnd w:id="19"/>
    <w:bookmarkStart w:id="20" w:name="product-functions"/>
    <w:p>
      <w:pPr>
        <w:pStyle w:val="Heading2"/>
      </w:pPr>
      <w:r>
        <w:t xml:space="preserve">2.2 Product Functions</w:t>
      </w:r>
    </w:p>
    <w:p>
      <w:pPr>
        <w:pStyle w:val="FirstParagraph"/>
      </w:pPr>
      <w:r>
        <w:t xml:space="preserve">At the highest level the system performs eight functions: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Registers and identifies patients</w:t>
      </w:r>
      <w:r>
        <w:t xml:space="preserve"> </w:t>
      </w:r>
      <w:r>
        <w:t xml:space="preserve">uniquely and prevents duplicates.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Routes patients</w:t>
      </w:r>
      <w:r>
        <w:t xml:space="preserve"> </w:t>
      </w:r>
      <w:r>
        <w:t xml:space="preserve">between departments through managed queues.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Records clinical care</w:t>
      </w:r>
      <w:r>
        <w:t xml:space="preserve"> </w:t>
      </w:r>
      <w:r>
        <w:t xml:space="preserve">— vitals, consultations, diagnoses and orders.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Executes diagnostic orders</w:t>
      </w:r>
      <w:r>
        <w:t xml:space="preserve"> </w:t>
      </w:r>
      <w:r>
        <w:t xml:space="preserve">in the laboratory and radiology departments.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Manages inpatient stay</w:t>
      </w:r>
      <w:r>
        <w:t xml:space="preserve"> </w:t>
      </w:r>
      <w:r>
        <w:t xml:space="preserve">— beds, transfers and medication administration.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Controls medicine stock</w:t>
      </w:r>
      <w:r>
        <w:t xml:space="preserve"> </w:t>
      </w:r>
      <w:r>
        <w:t xml:space="preserve">and dispenses against prescriptions.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Collects revenue</w:t>
      </w:r>
      <w:r>
        <w:t xml:space="preserve"> </w:t>
      </w:r>
      <w:r>
        <w:t xml:space="preserve">and prepares national health insurance claims.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Reports and governs</w:t>
      </w:r>
      <w:r>
        <w:t xml:space="preserve"> </w:t>
      </w:r>
      <w:r>
        <w:t xml:space="preserve">— statutory returns, licence tracking and audit.</w:t>
      </w:r>
    </w:p>
    <w:bookmarkEnd w:id="20"/>
    <w:bookmarkStart w:id="21" w:name="user-classes-and-characteristics"/>
    <w:p>
      <w:pPr>
        <w:pStyle w:val="Heading2"/>
      </w:pPr>
      <w:r>
        <w:t xml:space="preserve">2.3 User Classes and Characteristics</w:t>
      </w:r>
    </w:p>
    <w:p>
      <w:pPr>
        <w:pStyle w:val="FirstParagraph"/>
      </w:pPr>
      <w:r>
        <w:t xml:space="preserve">The system defines 19 roles across four hierarchy levels. Each role has an explicit set of</w:t>
      </w:r>
      <w:r>
        <w:t xml:space="preserve"> </w:t>
      </w:r>
      <w:r>
        <w:t xml:space="preserve">permitted actions and an explicit set of prohibitions.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Characteristics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Super 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Technical administrator. Manages facilities, configuration and system security.</w:t>
            </w:r>
            <w:r>
              <w:t xml:space="preserve"> </w:t>
            </w:r>
            <w:r>
              <w:rPr>
                <w:b/>
                <w:bCs/>
              </w:rPr>
              <w:t xml:space="preserve">Barred from clinical records by data-protection rule.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Hospital Director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Executive oversight of one facility. Reporting and approvals.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Auditor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Compliance monitoring. Read-only on audit logs; no clinical or financial access.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Hospital 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Operational management, staff scheduling, refund authorisation.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OPD / Medical 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 desk. Registration, MPI lookup, record merge, queue routing.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Consultation, ICD-10 diagnosis, clinical ordering, prescribing, discharge.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Nurse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Triage vitals, nursing notes, medication administration, monitoring.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Ward 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 allocation, ADT workflow, ward supplies.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Theatre Nurse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Theatre preparation, sterile field, recovery monitoring.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Laboratory Technician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Sample receipt, testing, result entry and verification.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Radiographer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Performs imaging, uploads studies. Cannot interpret.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Radiologist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Interprets images, writes and signs reports.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Pharmacist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Prescription verification, dispensing, counselling, stock control.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Cashier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Payment collection and receipting. Cannot authorise refunds alone.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Finance Officer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Revenue analysis, budgeting, claim reconciliation.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Claims Officer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NHIS eligibility, claim preparation and submission.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HR Officer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Staff records, licence verification, rosters. No clinical access.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Procurement Officer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Purchase requests and supplier management.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Store Keeper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 stores, stock receipt and transfer.</w:t>
            </w:r>
          </w:p>
        </w:tc>
      </w:tr>
    </w:tbl>
    <w:p>
      <w:pPr>
        <w:pStyle w:val="BodyText"/>
      </w:pPr>
      <w:r>
        <w:t xml:space="preserve">Technical proficiency across these roles varies widely, from IT administrators to clinical</w:t>
      </w:r>
      <w:r>
        <w:t xml:space="preserve"> </w:t>
      </w:r>
      <w:r>
        <w:t xml:space="preserve">staff with limited computer experience. The interface is therefore designed around</w:t>
      </w:r>
      <w:r>
        <w:t xml:space="preserve"> </w:t>
      </w:r>
      <w:r>
        <w:t xml:space="preserve">task-shaped screens rather than generic data grids.</w:t>
      </w:r>
    </w:p>
    <w:bookmarkEnd w:id="21"/>
    <w:bookmarkStart w:id="22" w:name="operating-environment"/>
    <w:p>
      <w:pPr>
        <w:pStyle w:val="Heading2"/>
      </w:pPr>
      <w:r>
        <w:t xml:space="preserve">2.4 Operating Environment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Element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modern browser (Chrome, Edge, Firefox, Safari — current and previous major version) on desktop, laptop or tablet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Node.js 20+ runtime; deployed on Vercel serverless infrastructure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14 or later; Neon serverless PostgreSQL in the deployed environment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HTTPS. The system also runs entirely against a local PostgreSQL instance when a facility has no internet connectivity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Ollama host for the clinical assistant; absent it, a deterministic rule engine is used</w:t>
            </w:r>
          </w:p>
        </w:tc>
      </w:tr>
    </w:tbl>
    <w:bookmarkEnd w:id="22"/>
    <w:bookmarkStart w:id="23" w:name="design-and-implementation-constraints"/>
    <w:p>
      <w:pPr>
        <w:pStyle w:val="Heading2"/>
      </w:pPr>
      <w:r>
        <w:t xml:space="preserve">2.5 Design and Implementation Constraints</w:t>
      </w:r>
    </w:p>
    <w:p>
      <w:pPr>
        <w:pStyle w:val="FirstParagraph"/>
      </w:pPr>
      <w:r>
        <w:t xml:space="preserve">Recorded in full in Section 7.</w:t>
      </w:r>
    </w:p>
    <w:bookmarkEnd w:id="23"/>
    <w:bookmarkStart w:id="24" w:name="user-documentation"/>
    <w:p>
      <w:pPr>
        <w:pStyle w:val="Heading2"/>
      </w:pPr>
      <w:r>
        <w:t xml:space="preserve">2.6 User Documentation</w:t>
      </w:r>
    </w:p>
    <w:p>
      <w:pPr>
        <w:pStyle w:val="FirstParagraph"/>
      </w:pPr>
      <w:r>
        <w:t xml:space="preserve">A role-by-role user manual accompanies the system (</w:t>
      </w:r>
      <w:r>
        <w:rPr>
          <w:rStyle w:val="VerbatimChar"/>
        </w:rPr>
        <w:t xml:space="preserve">docs/User_Manual.md</w:t>
      </w:r>
      <w:r>
        <w:t xml:space="preserve">), together with a</w:t>
      </w:r>
      <w:r>
        <w:t xml:space="preserve"> </w:t>
      </w:r>
      <w:r>
        <w:t xml:space="preserve">system administration and maintenance guide.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stakeholder-analysis"/>
    <w:p>
      <w:pPr>
        <w:pStyle w:val="Heading1"/>
      </w:pPr>
      <w:r>
        <w:t xml:space="preserve">3. Stakeholder Analysis</w:t>
      </w:r>
    </w:p>
    <w:bookmarkStart w:id="26" w:name="stakeholder-register"/>
    <w:p>
      <w:pPr>
        <w:pStyle w:val="Heading2"/>
      </w:pPr>
      <w:r>
        <w:t xml:space="preserve">3.1 Stakeholder Register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Stakeholder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Influence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External, primary beneficiary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Accurate records, shorter waits, correct bills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direct, high moral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Requirements derived from care pathway 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Clinical staff (doctors, nurses)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Internal, primary 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 access to a complete record; minimal typing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Workflow interviews; task-shaped screen design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Front-desk / records 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Internal, primary 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 registration, duplicate prevention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Registration workflow 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Diagnostic staff (laboratory, radiology)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Internal, primary 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 worklist, traceable specimens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Order-to-result workflow 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Pharmacy 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Internal, primary 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Accurate stock, safe dispensing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FEFO and dispensing workflow 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Cashiers and finance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Internal, primary 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 charges, reconciled collections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Billing workflow 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Claims officers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Internal, primary 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Clean claims that pass NHIA vetting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Claim rejection cause 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Hospital Director / Administration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Internal, decision maker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Operational visibility, compliance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Reporting requirements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 Auditor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Internal, governance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Complete, tamper-evident audit trail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 requirements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 administrator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Internal, 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Maintainability, deployability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Operational requirements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Ghana Health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External, regulator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DHIMS2 returns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Statutory reporting requirements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NHIA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External, payer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Valid, well-formed claims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G-DRG claim structure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External, regulator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Facility licensing compliance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 tracking requirements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Protection Commission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External, regulator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Lawful processing of health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 control and audit requirements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Course supervisor / examiner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External, assessor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Demonstrable engineering quality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Coursework specification</w:t>
            </w:r>
          </w:p>
        </w:tc>
      </w:tr>
    </w:tbl>
    <w:bookmarkEnd w:id="26"/>
    <w:bookmarkStart w:id="27" w:name="stakeholder-influenceinterest-grid"/>
    <w:p>
      <w:pPr>
        <w:pStyle w:val="Heading2"/>
      </w:pPr>
      <w:r>
        <w:t xml:space="preserve">3.2 Stakeholder Influence–Interest Grid</w:t>
      </w:r>
    </w:p>
    <w:p>
      <w:pPr>
        <w:pStyle w:val="SourceCode"/>
      </w:pPr>
      <w:r>
        <w:rPr>
          <w:rStyle w:val="VerbatimChar"/>
        </w:rPr>
        <w:t xml:space="preserve">   High │  Clinical staff          │  Hospital Director</w:t>
      </w:r>
      <w:r>
        <w:br/>
      </w:r>
      <w:r>
        <w:rPr>
          <w:rStyle w:val="VerbatimChar"/>
        </w:rPr>
        <w:t xml:space="preserve">        │  Front-desk staff        │  Claims Officer</w:t>
      </w:r>
      <w:r>
        <w:br/>
      </w:r>
      <w:r>
        <w:rPr>
          <w:rStyle w:val="VerbatimChar"/>
        </w:rPr>
        <w:t xml:space="preserve">Interest│  Pharmacy staff          │  GHS · NHIA · HeFRA · DPC</w:t>
      </w:r>
      <w:r>
        <w:br/>
      </w:r>
      <w:r>
        <w:rPr>
          <w:rStyle w:val="VerbatimChar"/>
        </w:rPr>
        <w:t xml:space="preserve">        │                          │  Course examiner</w:t>
      </w:r>
      <w:r>
        <w:br/>
      </w:r>
      <w:r>
        <w:rPr>
          <w:rStyle w:val="VerbatimChar"/>
        </w:rPr>
        <w:t xml:space="preserve">        ├──────────────────────────┼──────────────────────────</w:t>
      </w:r>
      <w:r>
        <w:br/>
      </w:r>
      <w:r>
        <w:rPr>
          <w:rStyle w:val="VerbatimChar"/>
        </w:rPr>
        <w:t xml:space="preserve">        │  Patients                │  IT administrator</w:t>
      </w:r>
      <w:r>
        <w:br/>
      </w:r>
      <w:r>
        <w:rPr>
          <w:rStyle w:val="VerbatimChar"/>
        </w:rPr>
        <w:t xml:space="preserve">    Low │  Procurement             │  System Auditor</w:t>
      </w:r>
      <w:r>
        <w:br/>
      </w:r>
      <w:r>
        <w:rPr>
          <w:rStyle w:val="VerbatimChar"/>
        </w:rPr>
        <w:t xml:space="preserve">        └──────────────────────────┴──────────────────────────</w:t>
      </w:r>
      <w:r>
        <w:br/>
      </w:r>
      <w:r>
        <w:rPr>
          <w:rStyle w:val="VerbatimChar"/>
        </w:rPr>
        <w:t xml:space="preserve">              Low                        High</w:t>
      </w:r>
      <w:r>
        <w:br/>
      </w:r>
      <w:r>
        <w:rPr>
          <w:rStyle w:val="VerbatimChar"/>
        </w:rPr>
        <w:t xml:space="preserve">                          Influence</w:t>
      </w:r>
    </w:p>
    <w:p>
      <w:pPr>
        <w:pStyle w:val="FirstParagraph"/>
      </w:pPr>
      <w:r>
        <w:rPr>
          <w:b/>
          <w:bCs/>
        </w:rPr>
        <w:t xml:space="preserve">Engagement strategy.</w:t>
      </w:r>
      <w:r>
        <w:t xml:space="preserve"> </w:t>
      </w:r>
      <w:r>
        <w:t xml:space="preserve">High-influence, high-interest stakeholders (clinical leadership,</w:t>
      </w:r>
      <w:r>
        <w:t xml:space="preserve"> </w:t>
      </w:r>
      <w:r>
        <w:t xml:space="preserve">regulators, the examiner) drove the requirement set directly. High-interest but</w:t>
      </w:r>
      <w:r>
        <w:t xml:space="preserve"> </w:t>
      </w:r>
      <w:r>
        <w:t xml:space="preserve">lower-influence users (clinical and front-desk staff) shaped the interaction design.</w:t>
      </w:r>
      <w:r>
        <w:t xml:space="preserve"> </w:t>
      </w:r>
      <w:r>
        <w:t xml:space="preserve">Regulator requirements were treated as non-negotiable constraints rather than features.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requirements-gathering-and-analysis"/>
    <w:p>
      <w:pPr>
        <w:pStyle w:val="Heading1"/>
      </w:pPr>
      <w:r>
        <w:t xml:space="preserve">4. Requirements Gathering and Analysis</w:t>
      </w:r>
    </w:p>
    <w:bookmarkStart w:id="29" w:name="elicitation-techniques"/>
    <w:p>
      <w:pPr>
        <w:pStyle w:val="Heading2"/>
      </w:pPr>
      <w:r>
        <w:t xml:space="preserve">4.1 Elicitation Techniques</w:t>
      </w:r>
    </w:p>
    <w:p>
      <w:pPr>
        <w:pStyle w:val="FirstParagraph"/>
      </w:pPr>
      <w:r>
        <w:t xml:space="preserve">Because the project is an academic capstone rather than a commissioned build, requirements</w:t>
      </w:r>
      <w:r>
        <w:t xml:space="preserve"> </w:t>
      </w:r>
      <w:r>
        <w:t xml:space="preserve">were elicited from documentary and observational sources rather than from a paying client: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Technique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Document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Ghana Health Service operating procedures, NHIA G-DRG claim structure and rejection criteria, DHIMS2 monthly return forms, HeFRA licensing requirements, Data Protection Act 843, Ghana Standard Treatment Guidelines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Process modelling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OPD patient journey was traced end to end — arrival, registration, triage, consultation, diagnostics, pharmacy, cashier, departure — and each hand-off point examined for the information it requires and produces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Artefact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Paper forms in common use (OPD attendance register, triage sheet, laboratory request form, prescription sheet, NHIS claim form) were decomposed into their data fields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Role decomposition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staffing structure of a regional hospital was decomposed into the 19 roles, and each role’s authority and prohibitions were derived from professional scope of practice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Failure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Known failure modes of paper systems — duplicate folders, lost results, expired-stock dispensing, rejected claims — were converted into preventive requirements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Prototyping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Screens were built early and reviewed within the team, then revised. Several requirements (for example, the need for a queue ticket per department rather than a single global counter) emerged only from using the prototype</w:t>
            </w:r>
          </w:p>
        </w:tc>
      </w:tr>
    </w:tbl>
    <w:bookmarkEnd w:id="29"/>
    <w:bookmarkStart w:id="30" w:name="analysis-method"/>
    <w:p>
      <w:pPr>
        <w:pStyle w:val="Heading2"/>
      </w:pPr>
      <w:r>
        <w:t xml:space="preserve">4.2 Analysis Method</w:t>
      </w:r>
    </w:p>
    <w:p>
      <w:pPr>
        <w:pStyle w:val="FirstParagraph"/>
      </w:pPr>
      <w:r>
        <w:t xml:space="preserve">Requirements were analysed in three passes: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Classification.</w:t>
      </w:r>
      <w:r>
        <w:t xml:space="preserve"> </w:t>
      </w:r>
      <w:r>
        <w:t xml:space="preserve">Each elicited statement was classified as functional, non-functional,</w:t>
      </w:r>
      <w:r>
        <w:t xml:space="preserve"> </w:t>
      </w:r>
      <w:r>
        <w:t xml:space="preserve">constraint or assumption.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Conflict resolution.</w:t>
      </w:r>
      <w:r>
        <w:t xml:space="preserve"> </w:t>
      </w:r>
      <w:r>
        <w:t xml:space="preserve">Conflicts were identified and resolved explicitly. The most</w:t>
      </w:r>
      <w:r>
        <w:t xml:space="preserve"> </w:t>
      </w:r>
      <w:r>
        <w:t xml:space="preserve">significant is recorded in §4.3.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Prioritisation.</w:t>
      </w:r>
      <w:r>
        <w:t xml:space="preserve"> </w:t>
      </w:r>
      <w:r>
        <w:t xml:space="preserve">MoSCoW prioritisation was applied. Every</w:t>
      </w:r>
      <w:r>
        <w:t xml:space="preserve"> </w:t>
      </w:r>
      <w:r>
        <w:rPr>
          <w:i/>
          <w:iCs/>
        </w:rPr>
        <w:t xml:space="preserve">Must</w:t>
      </w:r>
      <w:r>
        <w:t xml:space="preserve"> </w:t>
      </w:r>
      <w:r>
        <w:t xml:space="preserve">requirement is</w:t>
      </w:r>
      <w:r>
        <w:t xml:space="preserve"> </w:t>
      </w:r>
      <w:r>
        <w:t xml:space="preserve">implemented in the delivered system;</w:t>
      </w:r>
      <w:r>
        <w:t xml:space="preserve"> </w:t>
      </w:r>
      <w:r>
        <w:rPr>
          <w:i/>
          <w:iCs/>
        </w:rPr>
        <w:t xml:space="preserve">Could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Won’t</w:t>
      </w:r>
      <w:r>
        <w:t xml:space="preserve"> </w:t>
      </w:r>
      <w:r>
        <w:t xml:space="preserve">items appear in the future</w:t>
      </w:r>
      <w:r>
        <w:t xml:space="preserve"> </w:t>
      </w:r>
      <w:r>
        <w:t xml:space="preserve">evolution roadmap.</w:t>
      </w:r>
    </w:p>
    <w:bookmarkEnd w:id="30"/>
    <w:bookmarkStart w:id="31" w:name="X3087dfdbd8ee56982d268490b635cb6db83056e"/>
    <w:p>
      <w:pPr>
        <w:pStyle w:val="Heading2"/>
      </w:pPr>
      <w:r>
        <w:t xml:space="preserve">4.3 Notable Requirements Conflicts and Their Resolution</w:t>
      </w:r>
    </w:p>
    <w:p>
      <w:pPr>
        <w:pStyle w:val="FirstParagraph"/>
      </w:pPr>
      <w:r>
        <w:rPr>
          <w:b/>
          <w:bCs/>
        </w:rPr>
        <w:t xml:space="preserve">Conflict 1 — Administrator capability versus data protection.</w:t>
      </w:r>
      <w:r>
        <w:t xml:space="preserve"> </w:t>
      </w:r>
      <w:r>
        <w:t xml:space="preserve">An IT administrator conventionally holds unrestricted access for support purposes. The Data</w:t>
      </w:r>
      <w:r>
        <w:t xml:space="preserve"> </w:t>
      </w:r>
      <w:r>
        <w:t xml:space="preserve">Protection Act and DPC guidance require that access to personal health data be limited to</w:t>
      </w:r>
      <w:r>
        <w:t xml:space="preserve"> </w:t>
      </w:r>
      <w:r>
        <w:t xml:space="preserve">those with a care or administrative need.</w:t>
      </w:r>
      <w:r>
        <w:t xml:space="preserve"> </w:t>
      </w:r>
      <w:r>
        <w:rPr>
          <w:i/>
          <w:iCs/>
        </w:rPr>
        <w:t xml:space="preserve">Resolution:</w:t>
      </w:r>
      <w:r>
        <w:t xml:space="preserve"> </w:t>
      </w:r>
      <w:r>
        <w:t xml:space="preserve">the Super Admin role is barred at the</w:t>
      </w:r>
      <w:r>
        <w:t xml:space="preserve"> </w:t>
      </w:r>
      <w:r>
        <w:t xml:space="preserve">server from reading the patient index, vitals and consultation notes. Operational visibility</w:t>
      </w:r>
      <w:r>
        <w:t xml:space="preserve"> </w:t>
      </w:r>
      <w:r>
        <w:t xml:space="preserve">is preserved through an aggregate statistics endpoint that returns counts with no</w:t>
      </w:r>
      <w:r>
        <w:t xml:space="preserve"> </w:t>
      </w:r>
      <w:r>
        <w:t xml:space="preserve">identifiers. This is enforced in code, not policy (FR-SEC-04, FR-RPT-03).</w:t>
      </w:r>
    </w:p>
    <w:p>
      <w:pPr>
        <w:pStyle w:val="BodyText"/>
      </w:pPr>
      <w:r>
        <w:rPr>
          <w:b/>
          <w:bCs/>
        </w:rPr>
        <w:t xml:space="preserve">Conflict 2 — Registration speed versus duplicate prevention.</w:t>
      </w:r>
      <w:r>
        <w:t xml:space="preserve"> </w:t>
      </w:r>
      <w:r>
        <w:t xml:space="preserve">Front-desk staff need to register quickly, especially in emergencies. Duplicate prevention</w:t>
      </w:r>
      <w:r>
        <w:t xml:space="preserve"> </w:t>
      </w:r>
      <w:r>
        <w:t xml:space="preserve">requires validation that slows registration.</w:t>
      </w:r>
      <w:r>
        <w:t xml:space="preserve"> </w:t>
      </w:r>
      <w:r>
        <w:rPr>
          <w:i/>
          <w:iCs/>
        </w:rPr>
        <w:t xml:space="preserve">Resolution:</w:t>
      </w:r>
      <w:r>
        <w:t xml:space="preserve"> </w:t>
      </w:r>
      <w:r>
        <w:t xml:space="preserve">the Ghana Card uniqueness check is</w:t>
      </w:r>
      <w:r>
        <w:t xml:space="preserve"> </w:t>
      </w:r>
      <w:r>
        <w:t xml:space="preserve">enforced absolutely, but an emergency fast-track path allows registration of an unidentified</w:t>
      </w:r>
      <w:r>
        <w:t xml:space="preserve"> </w:t>
      </w:r>
      <w:r>
        <w:t xml:space="preserve">patient with a placeholder identifier, to be merged later (FR-PAT-02, FR-PAT-06).</w:t>
      </w:r>
    </w:p>
    <w:p>
      <w:pPr>
        <w:pStyle w:val="BodyText"/>
      </w:pPr>
      <w:r>
        <w:rPr>
          <w:b/>
          <w:bCs/>
        </w:rPr>
        <w:t xml:space="preserve">Conflict 3 — Clinician autonomy versus result verification.</w:t>
      </w:r>
      <w:r>
        <w:t xml:space="preserve"> </w:t>
      </w:r>
      <w:r>
        <w:t xml:space="preserve">Laboratory technicians need to enter results promptly; releasing an unverified result to the</w:t>
      </w:r>
      <w:r>
        <w:t xml:space="preserve"> </w:t>
      </w:r>
      <w:r>
        <w:t xml:space="preserve">clinical record is unsafe.</w:t>
      </w:r>
      <w:r>
        <w:t xml:space="preserve"> </w:t>
      </w:r>
      <w:r>
        <w:rPr>
          <w:i/>
          <w:iCs/>
        </w:rPr>
        <w:t xml:space="preserve">Resolution:</w:t>
      </w:r>
      <w:r>
        <w:t xml:space="preserve"> </w:t>
      </w:r>
      <w:r>
        <w:t xml:space="preserve">result entry and result verification are separated</w:t>
      </w:r>
      <w:r>
        <w:t xml:space="preserve"> </w:t>
      </w:r>
      <w:r>
        <w:t xml:space="preserve">into two permissions. The same person may hold both, but the transition to</w:t>
      </w:r>
      <w:r>
        <w:t xml:space="preserve"> </w:t>
      </w:r>
      <w:r>
        <w:rPr>
          <w:i/>
          <w:iCs/>
        </w:rPr>
        <w:t xml:space="preserve">Verified</w:t>
      </w:r>
      <w:r>
        <w:t xml:space="preserve"> </w:t>
      </w:r>
      <w:r>
        <w:t xml:space="preserve">is</w:t>
      </w:r>
      <w:r>
        <w:t xml:space="preserve"> </w:t>
      </w:r>
      <w:r>
        <w:t xml:space="preserve">recorded distinctly and attributed (FR-LAB-03, FR-LAB-04).</w:t>
      </w:r>
    </w:p>
    <w:p>
      <w:pPr>
        <w:pStyle w:val="BodyText"/>
      </w:pPr>
      <w:r>
        <w:rPr>
          <w:b/>
          <w:bCs/>
        </w:rPr>
        <w:t xml:space="preserve">Conflict 4 — Offline operation versus centralised data.</w:t>
      </w:r>
      <w:r>
        <w:t xml:space="preserve"> </w:t>
      </w:r>
      <w:r>
        <w:t xml:space="preserve">Facilities experience internet outages, but centralised data is required for multi-facility</w:t>
      </w:r>
      <w:r>
        <w:t xml:space="preserve"> </w:t>
      </w:r>
      <w:r>
        <w:t xml:space="preserve">oversight.</w:t>
      </w:r>
      <w:r>
        <w:t xml:space="preserve"> </w:t>
      </w:r>
      <w:r>
        <w:rPr>
          <w:i/>
          <w:iCs/>
        </w:rPr>
        <w:t xml:space="preserve">Resolution:</w:t>
      </w:r>
      <w:r>
        <w:t xml:space="preserve"> </w:t>
      </w:r>
      <w:r>
        <w:t xml:space="preserve">the system runs against either a local or a cloud PostgreSQL</w:t>
      </w:r>
      <w:r>
        <w:t xml:space="preserve"> </w:t>
      </w:r>
      <w:r>
        <w:t xml:space="preserve">instance, selected by configuration, with an identical schema (NFR-AVL-02, C-07).</w:t>
      </w:r>
    </w:p>
    <w:bookmarkEnd w:id="31"/>
    <w:bookmarkStart w:id="32" w:name="requirements-prioritisation-summary"/>
    <w:p>
      <w:pPr>
        <w:pStyle w:val="Heading2"/>
      </w:pPr>
      <w:r>
        <w:t xml:space="preserve">4.4 Requirements Prioritisation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Must have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Should have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Could have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implemented; 6 in the roadmap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Won’t have (this release)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Documented in the roadmap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End w:id="33"/>
    <w:bookmarkStart w:id="49" w:name="functional-requirements"/>
    <w:p>
      <w:pPr>
        <w:pStyle w:val="Heading1"/>
      </w:pPr>
      <w:r>
        <w:t xml:space="preserve">5. Functional Requirements</w:t>
      </w:r>
    </w:p>
    <w:p>
      <w:pPr>
        <w:pStyle w:val="FirstParagraph"/>
      </w:pPr>
      <w:r>
        <w:t xml:space="preserve">Each requirement carries an identifier, a priority (M = Must, S = Should, C = Could) and a</w:t>
      </w:r>
      <w:r>
        <w:t xml:space="preserve"> </w:t>
      </w:r>
      <w:r>
        <w:t xml:space="preserve">verification reference.</w:t>
      </w:r>
      <w:r>
        <w:t xml:space="preserve"> </w:t>
      </w:r>
      <w:r>
        <w:t xml:space="preserve">“Verified by”</w:t>
      </w:r>
      <w:r>
        <w:t xml:space="preserve"> </w:t>
      </w:r>
      <w:r>
        <w:t xml:space="preserve">points to the evidence in</w:t>
      </w:r>
      <w:r>
        <w:t xml:space="preserve"> </w:t>
      </w:r>
      <w:r>
        <w:rPr>
          <w:rStyle w:val="VerbatimChar"/>
        </w:rPr>
        <w:t xml:space="preserve">Testing_Report.md</w:t>
      </w:r>
      <w:r>
        <w:t xml:space="preserve">.</w:t>
      </w:r>
    </w:p>
    <w:bookmarkStart w:id="34" w:name="X570d0b2a3c30af8fd84c40ea99526c3b7c6772e"/>
    <w:p>
      <w:pPr>
        <w:pStyle w:val="Heading2"/>
      </w:pPr>
      <w:r>
        <w:t xml:space="preserve">5.1 Authentication and Session Management (AUTH)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Verified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FR-AUTH-01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authenticate staff by email address and password.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TC-AUTH-01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FR-AUTH-02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Passwords shall be stored only as bcrypt hashes; the system shall never store or transmit a plaintext password.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 review, TC-SEC-05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FR-AUTH-03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successful authentication the system shall issue a cryptographically signed session token in an</w:t>
            </w:r>
            <w:r>
              <w:t xml:space="preserve"> </w:t>
            </w:r>
            <w:r>
              <w:rPr>
                <w:rStyle w:val="VerbatimChar"/>
              </w:rPr>
              <w:t xml:space="preserve">httpOnly</w:t>
            </w:r>
            <w:r>
              <w:t xml:space="preserve"> </w:t>
            </w:r>
            <w:r>
              <w:t xml:space="preserve">cookie.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TC-AUTH-03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FR-AUTH-04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reject any session token whose signature does not verify, whose payload has been altered, or whose expiry has passed.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TC-SEC-01, TC-SEC-02, TC-SEC-03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FR-AUTH-05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return an identical response for an unknown email address and an incorrect password, preventing account enumeration.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TC-SEC-06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FR-AUTH-06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refuse authentication for staff accounts whose status is not Active.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TC-AUTH-04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FR-AUTH-07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throttle repeated failed sign-in attempts from the same source.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TC-SEC-07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FR-AUTH-08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terminate a session on sign-out and record the event.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TC-AUTH-05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FR-AUTH-09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Sessions shall expire after a configurable period, defaulting to one eight-hour shift.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TC-SEC-03</w:t>
            </w:r>
          </w:p>
        </w:tc>
      </w:tr>
    </w:tbl>
    <w:bookmarkEnd w:id="34"/>
    <w:bookmarkStart w:id="35" w:name="patient-administration-pat"/>
    <w:p>
      <w:pPr>
        <w:pStyle w:val="Heading2"/>
      </w:pPr>
      <w:r>
        <w:t xml:space="preserve">5.2 Patient Administration (PAT)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Verified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FR-PAT-01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register a patient capturing name, date of birth, gender, contact, Ghana Card number, residential and digital address, next of kin, blood group, allergies and chronic conditions.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TC-PAT-01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FR-PAT-02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reject registration where the Ghana Card number already exists, and shall identify the existing record.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TC-PAT-02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FR-PAT-03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allocate a unique sequential Medical Record Number to each patient.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TC-PAT-03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FR-PAT-04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record NHIS membership number, status and expiry where the patient is insured.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TC-PAT-01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FR-PAT-05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support search and retrieval of patient records by name, MRN and Ghana Card number.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TC-PAT-04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FR-PAT-06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support fast-track registration of an unidentified emergency patient.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TC-PAT-05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FR-PAT-07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support merging duplicate patient records, retaining the surviving MRN.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Roadmap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FR-PAT-08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route a newly registered patient into the triage queue automatically.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TC-PAT-06</w:t>
            </w:r>
          </w:p>
        </w:tc>
      </w:tr>
    </w:tbl>
    <w:bookmarkEnd w:id="35"/>
    <w:bookmarkStart w:id="36" w:name="queue-and-patient-flow-que"/>
    <w:p>
      <w:pPr>
        <w:pStyle w:val="Heading2"/>
      </w:pPr>
      <w:r>
        <w:t xml:space="preserve">5.3 Queue and Patient Flow (QUE)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Verified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FR-QUE-01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issue a queue ticket for each department a patient is routed to.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TC-QUE-01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FR-QUE-02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Queue numbers shall be sequential within a department and within a day.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TC-QUE-01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FR-QUE-03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display waiting time derived from the age of the queue entry.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TC-QUE-02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FR-QUE-04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support priority levels of Normal, Urgent and Emergency, ordering the queue accordingly.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TC-QUE-03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FR-QUE-05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transition a queue entry through Waiting, In Consultation, Completed and Transferred.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TC-QUE-04</w:t>
            </w:r>
          </w:p>
        </w:tc>
      </w:tr>
    </w:tbl>
    <w:bookmarkEnd w:id="36"/>
    <w:bookmarkStart w:id="37" w:name="triage-and-vital-signs-tri"/>
    <w:p>
      <w:pPr>
        <w:pStyle w:val="Heading2"/>
      </w:pPr>
      <w:r>
        <w:t xml:space="preserve">5.4 Triage and Vital Signs (TRI)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Verified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FR-TRI-01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record blood pressure, pulse, temperature, respiratory rate, oxygen saturation, weight, height, blood glucose and pain score.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TC-TRI-01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FR-TRI-02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compute Body Mass Index from the recorded weight and height.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TC-TRI-02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FR-TRI-03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record an Emergency Severity Index level from 1 to 5 as assigned by the triage nurse.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TC-TRI-03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FR-TRI-04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derive abnormality alerts from the recorded observations against Ghana Health Service triage thresholds.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TC-TRI-04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FR-TRI-05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attribute each vitals record to the staff member who recorded it, taken from the authenticated session.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TC-SEC-08</w:t>
            </w:r>
          </w:p>
        </w:tc>
      </w:tr>
    </w:tbl>
    <w:bookmarkEnd w:id="37"/>
    <w:bookmarkStart w:id="38" w:name="clinical-consultation-and-emr-emr"/>
    <w:p>
      <w:pPr>
        <w:pStyle w:val="Heading2"/>
      </w:pPr>
      <w:r>
        <w:t xml:space="preserve">5.5 Clinical Consultation and EMR (EMR)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Verified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FR-EMR-01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record presenting complaint, history, past medical history, examination findings, clinical notes and treatment plan.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TC-EMR-01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FR-EMR-02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record one or more ICD-10 diagnoses per encounter.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TC-EMR-02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FR-EMR-03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present the patient’s previous encounters, vitals and results to the consulting clinician.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TC-EMR-03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FR-EMR-04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allow the clinician to raise laboratory, radiology, prescription, admission and procedure orders within the consultation.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TC-EMR-04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FR-EMR-05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Raising an order shall automatically create the corresponding departmental work item and billing line.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TC-INT-01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FR-EMR-06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attribute each encounter to the signing clinician from the authenticated session.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TC-SEC-08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FR-EMR-07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support issuing a sick-leave certificate with a specified number of days.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TC-EMR-05</w:t>
            </w:r>
          </w:p>
        </w:tc>
      </w:tr>
    </w:tbl>
    <w:bookmarkEnd w:id="38"/>
    <w:bookmarkStart w:id="39" w:name="laboratory-lab"/>
    <w:p>
      <w:pPr>
        <w:pStyle w:val="Heading2"/>
      </w:pPr>
      <w:r>
        <w:t xml:space="preserve">5.6 Laboratory (LAB)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Verified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FR-LAB-01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maintain a laboratory test catalogue with code, name, category, specimen type, cost and NHIS coverage.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TC-LAB-01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FR-LAB-02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allocate a unique specimen barcode to each laboratory order.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TC-LAB-02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FR-LAB-03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progress an order through Ordered, Specimen Collected, In Analysis, Verified and Completed.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TC-LAB-03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FR-LAB-04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transition to Verified shall require the</w:t>
            </w:r>
            <w:r>
              <w:t xml:space="preserve"> </w:t>
            </w:r>
            <w:r>
              <w:rPr>
                <w:rStyle w:val="VerbatimChar"/>
              </w:rPr>
              <w:t xml:space="preserve">VERIFY_LAB_RESULTS</w:t>
            </w:r>
            <w:r>
              <w:t xml:space="preserve"> </w:t>
            </w:r>
            <w:r>
              <w:t xml:space="preserve">permission and shall record the verifying officer and time.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TC-LAB-04, TC-SEC-09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FR-LAB-05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record result parameters with value, unit, reference range and abnormal/critical flags.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TC-LAB-05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FR-LAB-06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 metadata shall be taken from the test catalogue rather than from the request, so specimen type and category remain consistent.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TC-LAB-06</w:t>
            </w:r>
          </w:p>
        </w:tc>
      </w:tr>
    </w:tbl>
    <w:bookmarkEnd w:id="39"/>
    <w:bookmarkStart w:id="40" w:name="radiology-rad"/>
    <w:p>
      <w:pPr>
        <w:pStyle w:val="Heading2"/>
      </w:pPr>
      <w:r>
        <w:t xml:space="preserve">5.7 Radiology (RAD)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Verified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FR-RAD-01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record radiology orders with modality, body part, clinical indication and pregnancy screening.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TC-RAD-01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FR-RAD-02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allocate a unique PACS accession number to each study.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TC-RAD-02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FR-RAD-03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separate performing an imaging study from interpreting it: only a holder of</w:t>
            </w:r>
            <w:r>
              <w:t xml:space="preserve"> </w:t>
            </w:r>
            <w:r>
              <w:rPr>
                <w:rStyle w:val="VerbatimChar"/>
              </w:rPr>
              <w:t xml:space="preserve">WRITE_RADIOLOGY_REPORT</w:t>
            </w:r>
            <w:r>
              <w:t xml:space="preserve"> </w:t>
            </w:r>
            <w:r>
              <w:t xml:space="preserve">may issue a report.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TC-RAD-03, TC-SEC-10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FR-RAD-04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record and flag critical findings.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TC-RAD-04</w:t>
            </w:r>
          </w:p>
        </w:tc>
      </w:tr>
    </w:tbl>
    <w:bookmarkEnd w:id="40"/>
    <w:bookmarkStart w:id="41" w:name="inpatient-and-wards-wrd"/>
    <w:p>
      <w:pPr>
        <w:pStyle w:val="Heading2"/>
      </w:pPr>
      <w:r>
        <w:t xml:space="preserve">5.8 Inpatient and Wards (WRD)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Verified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FR-WRD-01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maintain a bed register with ward, bed number, type, daily rate and status.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TC-WRD-01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FR-WRD-02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support bed states of Available, Occupied, Reserved, Cleaning, Maintenance and Isolation.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TC-WRD-02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FR-WRD-03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refuse to assign an occupied bed to a different patient.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TC-WRD-03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FR-WRD-04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maintain a medication administration record with scheduled, administered, omitted and refused states.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TC-WRD-04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FR-WRD-05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Recording a dose as omitted or refused shall require a reason.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TC-WRD-05</w:t>
            </w:r>
          </w:p>
        </w:tc>
      </w:tr>
    </w:tbl>
    <w:bookmarkEnd w:id="41"/>
    <w:bookmarkStart w:id="42" w:name="pharmacy-phm"/>
    <w:p>
      <w:pPr>
        <w:pStyle w:val="Heading2"/>
      </w:pPr>
      <w:r>
        <w:t xml:space="preserve">5.9 Pharmacy (PHM)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Verified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FR-PHM-01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maintain drug stock by batch, with expiry, quantity, reorder level, cost and selling price.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TC-PHM-01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FR-PHM-02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present stock in First-Expiry-First-Out order.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TC-PHM-02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FR-PHM-03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record dispensing against a prescription and deduct stock in the same atomic transaction.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TC-PHM-03, TC-INT-02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FR-PHM-04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refuse to dispense more than the quantity held.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TC-PHM-04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FR-PHM-05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refuse to dispense from an expired batch.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TC-PHM-05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FR-PHM-06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flag controlled substances.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TC-PHM-06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FR-PHM-07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record counselling notes against a dispense.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TC-PHM-07</w:t>
            </w:r>
          </w:p>
        </w:tc>
      </w:tr>
    </w:tbl>
    <w:bookmarkEnd w:id="42"/>
    <w:bookmarkStart w:id="43" w:name="billing-and-revenue-bil"/>
    <w:p>
      <w:pPr>
        <w:pStyle w:val="Heading2"/>
      </w:pPr>
      <w:r>
        <w:t xml:space="preserve">5.10 Billing and Revenue (BIL)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Verified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FR-BIL-01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generate an invoice with itemised lines for every chargeable service.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TC-BIL-01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FR-BIL-02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Invoice totals shall be recomputed on the server from the line items, not accepted from the client.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TC-SEC-11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FR-BIL-03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apply NHIS exemption to covered items for insured patients.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TC-BIL-02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FR-BIL-04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record payments by cash, mobile money, card, insurance and corporate account.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TC-BIL-03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FR-BIL-05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refuse a payment exceeding the invoice total.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TC-BIL-04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FR-BIL-06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Reducing a settled amount shall require the</w:t>
            </w:r>
            <w:r>
              <w:t xml:space="preserve"> </w:t>
            </w:r>
            <w:r>
              <w:rPr>
                <w:rStyle w:val="VerbatimChar"/>
              </w:rPr>
              <w:t xml:space="preserve">PROCESS_REFUNDS</w:t>
            </w:r>
            <w:r>
              <w:t xml:space="preserve"> </w:t>
            </w:r>
            <w:r>
              <w:t xml:space="preserve">permission.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TC-BIL-05, TC-SEC-12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FR-BIL-07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issue a uniquely numbered receipt.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TC-BIL-06</w:t>
            </w:r>
          </w:p>
        </w:tc>
      </w:tr>
    </w:tbl>
    <w:bookmarkEnd w:id="43"/>
    <w:bookmarkStart w:id="44" w:name="nhis-claims-clm"/>
    <w:p>
      <w:pPr>
        <w:pStyle w:val="Heading2"/>
      </w:pPr>
      <w:r>
        <w:t xml:space="preserve">5.11 NHIS Claims (CLM)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Verified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FR-CLM-01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generate a claim line from the encounter diagnosis and the service tariff.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TC-CLM-01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FR-CLM-02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Claim demographics shall be read from the patient record, never from the request body.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TC-CLM-02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FR-CLM-03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flag claims with a missing NHIS number, an expired card or no diagnosis code, and hold them as Draft.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TC-CLM-03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FR-CLM-04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claim total shall be computed as the sum of the service and medicine tariffs.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TC-CLM-04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FR-CLM-05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assemble validated claims into a monthly batch, computing the count and total from the lines it carries.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TC-CLM-05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FR-CLM-06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Batching shall stamp each claim atomically so that no claim can be submitted in two batches.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TC-CLM-06, TC-INT-03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FR-CLM-07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progress a batch through Prepared, Exported, Submitted and Reconciled, settling claims on reconciliation.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TC-CLM-07</w:t>
            </w:r>
          </w:p>
        </w:tc>
      </w:tr>
    </w:tbl>
    <w:bookmarkEnd w:id="44"/>
    <w:bookmarkStart w:id="45" w:name="inventory-and-procurement-inv"/>
    <w:p>
      <w:pPr>
        <w:pStyle w:val="Heading2"/>
      </w:pPr>
      <w:r>
        <w:t xml:space="preserve">5.12 Inventory and Procurement (INV)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Verified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FR-INV-01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maintain store items with code, category, location, batch, expiry, quantity, unit, price and reorder point.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TC-INV-01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FR-INV-02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derive stock status (In Stock, Low Stock, Near Expiry, Expired) from quantity and expiry rather than storing it.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TC-INV-02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FR-INV-03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support items with no expiry date.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TC-INV-03</w:t>
            </w:r>
          </w:p>
        </w:tc>
      </w:tr>
    </w:tbl>
    <w:bookmarkEnd w:id="45"/>
    <w:bookmarkStart w:id="46" w:name="reporting-and-governance-rpt"/>
    <w:p>
      <w:pPr>
        <w:pStyle w:val="Heading2"/>
      </w:pPr>
      <w:r>
        <w:t xml:space="preserve">5.13 Reporting and Governance (RPT)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Verified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FR-RPT-01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compute the DHIMS2 monthly return from live clinical data, including attendance disaggregated by age band and sex, and the five leading diagnoses.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TC-RPT-01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FR-RPT-02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Figures that the system cannot derive — deaths and maternal deliveries — shall be captured from the records officer.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TC-RPT-02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FR-RPT-03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provide aggregate operational statistics containing no patient identifiers.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TC-RPT-03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FR-RPT-04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track HeFRA facility licence numbers, expiry and status.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TC-RPT-04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FR-RPT-05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track staff professional licences and flag those expiring within 90 days.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TC-RPT-05</w:t>
            </w:r>
          </w:p>
        </w:tc>
      </w:tr>
    </w:tbl>
    <w:bookmarkEnd w:id="46"/>
    <w:bookmarkStart w:id="47" w:name="security-and-access-control-sec"/>
    <w:p>
      <w:pPr>
        <w:pStyle w:val="Heading2"/>
      </w:pPr>
      <w:r>
        <w:t xml:space="preserve">5.14 Security and Access Control (SEC)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Verified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FR-SEC-01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implement role-based access control across 19 roles and 62 permissions.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TC-SEC-13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FR-SEC-02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 control shall be enforced on the server for every request; client-side checks are advisory only.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TC-SEC-14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FR-SEC-03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endpoint or method without an explicit access policy shall be denied.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TC-SEC-15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FR-SEC-04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Super Admin role shall be denied access to the patient index, vital signs and consultation notes.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TC-SEC-16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FR-SEC-05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acting identity on every write shall be taken from the authenticated session, never from the request body.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TC-SEC-08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FR-SEC-06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maintain an append-only audit trail recording actor, role, action, subject, detail, time and source address.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TC-SEC-17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FR-SEC-07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validate the type, length and range of safety-critical input.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TC-SEC-18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FR-SEC-08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Staff credential hashes shall never be transmitted to a client.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TC-SEC-05</w:t>
            </w:r>
          </w:p>
        </w:tc>
      </w:tr>
    </w:tbl>
    <w:bookmarkEnd w:id="47"/>
    <w:bookmarkStart w:id="48" w:name="clinical-decision-support-ai"/>
    <w:p>
      <w:pPr>
        <w:pStyle w:val="Heading2"/>
      </w:pPr>
      <w:r>
        <w:t xml:space="preserve">5.15 Clinical Decision Support (AI)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Verified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FR-AI-01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suggest prescriptions from the patient’s diagnoses, vitals, allergies, chronic conditions, laboratory results and history.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TC-AI-01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FR-AI-02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Suggestions shall be restricted to medicines actually held in the facility’s stock.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TC-AI-02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FR-AI-03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Suggestions conflicting with a recorded allergy shall be flagged, with the conflict re-derived locally rather than accepted from the model.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TC-AI-03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FR-AI-04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the model is unavailable the system shall fall back to a deterministic Ghana Standard Treatment Guidelines rule engine.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TC-AI-04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FR-AI-05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response shall identify whether it originated from the model or the rule engine.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TC-AI-05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FR-AI-06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Suggestions shall be advisory; the prescribing decision shall remain with the clinician.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review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"/>
    <w:bookmarkEnd w:id="49"/>
    <w:bookmarkStart w:id="57" w:name="non-functional-requirements"/>
    <w:p>
      <w:pPr>
        <w:pStyle w:val="Heading1"/>
      </w:pPr>
      <w:r>
        <w:t xml:space="preserve">6. Non-Functional Requirements</w:t>
      </w:r>
    </w:p>
    <w:bookmarkStart w:id="50" w:name="performance-prf"/>
    <w:p>
      <w:pPr>
        <w:pStyle w:val="Heading2"/>
      </w:pPr>
      <w:r>
        <w:t xml:space="preserve">6.1 Performance (PRF)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Verified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NFR-PRF-01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Page load (first contentful paint) on a broadband connection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2.0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TC-PRF-01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NFR-PRF-02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response for a single-collection 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800 ms at the 95th percentile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TC-PRF-02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NFR-PRF-03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Authentication round trip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1.5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TC-PRF-03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NFR-PRF-04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Dashboard aggregate statistics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1.5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TC-PRF-04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NFR-PRF-05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support at least 50 concurrent staff sessions per facility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TC-PRF-05</w:t>
            </w:r>
          </w:p>
        </w:tc>
      </w:tr>
    </w:tbl>
    <w:bookmarkEnd w:id="50"/>
    <w:bookmarkStart w:id="51" w:name="security-secu"/>
    <w:p>
      <w:pPr>
        <w:pStyle w:val="Heading2"/>
      </w:pPr>
      <w:r>
        <w:t xml:space="preserve">6.2 Security (SECU)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NFR-SECU-01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traffic in the deployed environment shall be served over HTTPS.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NFR-SECU-02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 cookies shall be</w:t>
            </w:r>
            <w:r>
              <w:t xml:space="preserve"> </w:t>
            </w:r>
            <w:r>
              <w:rPr>
                <w:rStyle w:val="VerbatimChar"/>
              </w:rPr>
              <w:t xml:space="preserve">httpOnly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SameSite=Lax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Secure</w:t>
            </w:r>
            <w:r>
              <w:t xml:space="preserve"> </w:t>
            </w:r>
            <w:r>
              <w:t xml:space="preserve">in production.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NFR-SECU-03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 tokens shall be signed with HMAC-SHA256 using a secret of at least 32 characters; the system shall refuse to sign sessions in production with a weaker secret.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NFR-SECU-04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Signature comparison shall be constant-time.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NFR-SECU-05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Passwords shall be hashed with bcrypt at a work factor of at least 10.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NFR-SECU-06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Database credentials shall never be committed to version control nor written to logs.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NFR-SECU-07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Database access shall be parameterised through an ORM, eliminating string-concatenated SQL.</w:t>
            </w:r>
          </w:p>
        </w:tc>
      </w:tr>
    </w:tbl>
    <w:bookmarkEnd w:id="51"/>
    <w:bookmarkStart w:id="52" w:name="reliability-and-availability-avl"/>
    <w:p>
      <w:pPr>
        <w:pStyle w:val="Heading2"/>
      </w:pPr>
      <w:r>
        <w:t xml:space="preserve">6.3 Reliability and Availability (AVL)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NFR-AVL-01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availability of 99% during facility operating hours.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NFR-AVL-02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operate against a local database when external connectivity is unavailable.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NFR-AVL-03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Operations spanning more than one table shall be atomic; a partial write shall not be observable.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NFR-AVL-04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failed write shall be reported to the user rather than silently discarded.</w:t>
            </w:r>
          </w:p>
        </w:tc>
      </w:tr>
    </w:tbl>
    <w:bookmarkEnd w:id="52"/>
    <w:bookmarkStart w:id="53" w:name="usability-usa"/>
    <w:p>
      <w:pPr>
        <w:pStyle w:val="Heading2"/>
      </w:pPr>
      <w:r>
        <w:t xml:space="preserve">6.4 Usability (USA)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NFR-USA-01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user shall reach any permitted module within two clicks of the dashboard.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NFR-USA-02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interface shall be usable on screens from 360 px to 2560 px wide.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NFR-USA-03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messages shall state what failed and what the user should do next.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NFR-USA-04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Denied access shall be explained, naming the role and the missing authority.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NFR-USA-05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Light and dark themes shall both be available, with light as the default and the choice persisted.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NFR-USA-06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Motion shall be suppressed for users who have requested reduced motion.</w:t>
            </w:r>
          </w:p>
        </w:tc>
      </w:tr>
    </w:tbl>
    <w:bookmarkEnd w:id="53"/>
    <w:bookmarkStart w:id="54" w:name="maintainability-mnt"/>
    <w:p>
      <w:pPr>
        <w:pStyle w:val="Heading2"/>
      </w:pPr>
      <w:r>
        <w:t xml:space="preserve">6.5 Maintainability (MNT)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NFR-MNT-01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codebase shall be written in TypeScript under</w:t>
            </w:r>
            <w:r>
              <w:t xml:space="preserve"> </w:t>
            </w:r>
            <w:r>
              <w:rPr>
                <w:rStyle w:val="VerbatimChar"/>
              </w:rPr>
              <w:t xml:space="preserve">strict</w:t>
            </w:r>
            <w:r>
              <w:t xml:space="preserve"> </w:t>
            </w:r>
            <w:r>
              <w:t xml:space="preserve">compilation with no type errors.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NFR-MNT-02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 policy shall be declared in one place rather than scattered through handlers.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NFR-MNT-03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Conversion between storage and presentation shapes shall occur at a single boundary.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NFR-MNT-04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tests shall cover session security, access policy, data conversion and date handling.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NFR-MNT-05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 integration shall run typecheck, tests and build on every change.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NFR-MNT-06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Database schema changes shall be applied through versioned migrations.</w:t>
            </w:r>
          </w:p>
        </w:tc>
      </w:tr>
    </w:tbl>
    <w:bookmarkEnd w:id="54"/>
    <w:bookmarkStart w:id="55" w:name="portability-and-compatibility-prt"/>
    <w:p>
      <w:pPr>
        <w:pStyle w:val="Heading2"/>
      </w:pPr>
      <w:r>
        <w:t xml:space="preserve">6.6 Portability and Compatibility (PRT)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NFR-PRT-01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run on any platform supporting Node.js 20+ and PostgreSQL 14+.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NFR-PRT-02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same code shall run against local and cloud PostgreSQL without modification.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NFR-PRT-03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function on the current and previous major versions of Chrome, Edge, Firefox and Safari.</w:t>
            </w:r>
          </w:p>
        </w:tc>
      </w:tr>
    </w:tbl>
    <w:bookmarkEnd w:id="55"/>
    <w:bookmarkStart w:id="56" w:name="compliance-cmp"/>
    <w:p>
      <w:pPr>
        <w:pStyle w:val="Heading2"/>
      </w:pPr>
      <w:r>
        <w:t xml:space="preserve">6.7 Compliance (CMP)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NFR-CMP-01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Processing of personal health data shall satisfy the Data Protection Act, 2012 (Act 843): access limited to those with a legitimate need, and every access recorded.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NFR-CMP-02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Claim data structure shall conform to the NHIA G-DRG format.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NFR-CMP-03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Statutory reporting figures shall conform to the DHIMS2 monthly return structure.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NFR-CMP-04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Facility licensing data shall conform to HeFRA requirements.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NFR-CMP-05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Clinical decision support shall be grounded in the Ghana Standard Treatment Guidelines.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End w:id="57"/>
    <w:bookmarkStart w:id="58" w:name="system-constraints"/>
    <w:p>
      <w:pPr>
        <w:pStyle w:val="Heading1"/>
      </w:pPr>
      <w:r>
        <w:t xml:space="preserve">7. System Constraints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Constraint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Consequence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must be deployable to a serverless platform (Vercel)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Coursework 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long-lived in-process state; rate limiting is process-local and documented as such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is the required datastore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decision, relational integrity of clinical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Schema is relational; no document store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 NHIA and NIA verification requires an accredited integration agreement unavailable to a student 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External, regulatory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 and membership numbers are validated for format and internal consistency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DICOM image storage is beyond the available infrastructure 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Radiology is metadata-only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clinical assistant must not depend on a paid external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Cost, and offline operation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Ollama with a local rule-engine fallback rather than a hosted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Development timeframe is one academic semester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 limited to the modules in §1.2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Facilities experience intermittent connectivity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Environmental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Local/cloud database switching is a first-class feature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Clinical staff have widely varying computer literacy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population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Task-shaped screens; explanatory errors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Health data is subject to Act 843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Server-enforced access control and an immutable audit trail are mandatory, not optional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application must remain publicly accessible for grading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Coursework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Deployed on Vercel with a managed database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8"/>
    <w:bookmarkStart w:id="61" w:name="assumptions-and-dependencies"/>
    <w:p>
      <w:pPr>
        <w:pStyle w:val="Heading1"/>
      </w:pPr>
      <w:r>
        <w:t xml:space="preserve">8. Assumptions and Dependencies</w:t>
      </w:r>
    </w:p>
    <w:bookmarkStart w:id="59" w:name="assumptions"/>
    <w:p>
      <w:pPr>
        <w:pStyle w:val="Heading2"/>
      </w:pPr>
      <w:r>
        <w:t xml:space="preserve">8.1 Assumptions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if 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 patient possesses, or can be issued, a unique Ghana Card 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Duplicate prevention weakens; the emergency fast-track path partially mitigates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Staff each have an individual account and do not share credentials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 attribution becomes meaningless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facility has electricity and a local network during operating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is unavailable; paper fallback 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ICD-10 and G-DRG code sets remain stable within a release 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Codes require updating; handled as adaptive maintenance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Browsers used are current or one major version behind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Layout and script failures on legacy browsers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database backup regime is operated by the hosting provider or the facility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loss on failure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Clinical users exercise professional judgement over decision-support suggestions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Inappropriate prescribing; mitigated by advisory framing and allergy re-checking</w:t>
            </w:r>
          </w:p>
        </w:tc>
      </w:tr>
    </w:tbl>
    <w:bookmarkEnd w:id="59"/>
    <w:bookmarkStart w:id="60" w:name="dependencies"/>
    <w:p>
      <w:pPr>
        <w:pStyle w:val="Heading2"/>
      </w:pPr>
      <w:r>
        <w:t xml:space="preserve">8.2 Dependencies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Dependency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Failure behaviour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PostgreSQL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of record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cannot operate; errors are surfaced rather than hidden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Vercel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deployed instance is unavailable; local operation is unaffected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Managed 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Switch</w:t>
            </w:r>
            <w:r>
              <w:t xml:space="preserve"> </w:t>
            </w:r>
            <w:r>
              <w:rPr>
                <w:rStyle w:val="VerbatimChar"/>
              </w:rPr>
              <w:t xml:space="preserve">DATABASE_TARGET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local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Ollama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Clinical assistant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Automatic fallback to the GSTG rule engine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Google Fonts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Fonts are self-hosted at build time by</w:t>
            </w:r>
            <w:r>
              <w:t xml:space="preserve"> </w:t>
            </w:r>
            <w:r>
              <w:rPr>
                <w:rStyle w:val="VerbatimChar"/>
              </w:rPr>
              <w:t xml:space="preserve">next/font</w:t>
            </w:r>
            <w:r>
              <w:t xml:space="preserve">; no runtime dependency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npm 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Build-time dependency resolution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Builds fail; runtime unaffected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End w:id="61"/>
    <w:bookmarkStart w:id="64" w:name="requirements-traceability"/>
    <w:p>
      <w:pPr>
        <w:pStyle w:val="Heading1"/>
      </w:pPr>
      <w:r>
        <w:t xml:space="preserve">9. Requirements Traceability</w:t>
      </w:r>
    </w:p>
    <w:bookmarkStart w:id="62" w:name="requirement-to-implementation"/>
    <w:p>
      <w:pPr>
        <w:pStyle w:val="Heading2"/>
      </w:pPr>
      <w:r>
        <w:t xml:space="preserve">9.1 Requirement to Implementation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Requirement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Principal 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FR-AUTH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src/lib/session.ts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src/app/api/auth/*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src/lib/rate-limit.ts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FR-PAT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src/app/api/patients/route.ts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src/app/(DashboardLayout)/patient-registration/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FR-QUE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src/app/api/queues/route.ts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src/app/(DashboardLayout)/patient-flow/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FR-TRI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src/app/api/vitals/route.ts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src/app/(DashboardLayout)/triage/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FR-EMR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src/app/api/encounters/route.ts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src/app/(DashboardLayout)/emr-consultation/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FR-LAB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src/app/api/lab-orders/route.ts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src/app/api/lab-catalogue/route.ts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FR-RAD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src/app/api/radiology/route.ts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FR-WRD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src/app/api/beds/route.ts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src/app/api/mar/route.ts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FR-PHM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src/app/api/pharmacy/route.ts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src/app/api/pharmacy/dispense/route.ts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FR-BIL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src/app/api/billing/route.ts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FR-CLM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src/app/api/nhis-claims/route.ts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src/app/api/nhis-batches/route.ts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FR-INV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src/app/api/inventory/route.ts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FR-RPT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src/app/api/dhims2/route.ts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src/app/api/stats/route.ts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FR-SEC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src/proxy.ts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src/lib/api-guard.ts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src/lib/api-policy.ts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src/lib/types/rbac.ts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src/lib/validation.ts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src/app/api/ai-assistant/route.ts</w:t>
            </w:r>
          </w:p>
        </w:tc>
      </w:tr>
    </w:tbl>
    <w:bookmarkEnd w:id="62"/>
    <w:bookmarkStart w:id="63" w:name="requirement-to-test"/>
    <w:p>
      <w:pPr>
        <w:pStyle w:val="Heading2"/>
      </w:pPr>
      <w:r>
        <w:t xml:space="preserve">9.2 Requirement to Test</w:t>
      </w:r>
    </w:p>
    <w:p>
      <w:pPr>
        <w:pStyle w:val="FirstParagraph"/>
      </w:pPr>
      <w:r>
        <w:t xml:space="preserve">Full mapping is given in</w:t>
      </w:r>
      <w:r>
        <w:t xml:space="preserve"> </w:t>
      </w:r>
      <w:r>
        <w:rPr>
          <w:rStyle w:val="VerbatimChar"/>
        </w:rPr>
        <w:t xml:space="preserve">Testing_Report.md</w:t>
      </w:r>
      <w:r>
        <w:t xml:space="preserve"> </w:t>
      </w:r>
      <w:r>
        <w:t xml:space="preserve">§4. Every</w:t>
      </w:r>
      <w:r>
        <w:t xml:space="preserve"> </w:t>
      </w:r>
      <w:r>
        <w:rPr>
          <w:i/>
          <w:iCs/>
        </w:rPr>
        <w:t xml:space="preserve">Must</w:t>
      </w:r>
      <w:r>
        <w:t xml:space="preserve"> </w:t>
      </w:r>
      <w:r>
        <w:t xml:space="preserve">requirement has at least one</w:t>
      </w:r>
      <w:r>
        <w:t xml:space="preserve"> </w:t>
      </w:r>
      <w:r>
        <w:t xml:space="preserve">corresponding test case; requirements marked</w:t>
      </w:r>
      <w:r>
        <w:t xml:space="preserve"> </w:t>
      </w:r>
      <w:r>
        <w:t xml:space="preserve">“Roadmap”</w:t>
      </w:r>
      <w:r>
        <w:t xml:space="preserve"> </w:t>
      </w:r>
      <w:r>
        <w:t xml:space="preserve">are not tested in this release and</w:t>
      </w:r>
      <w:r>
        <w:t xml:space="preserve"> </w:t>
      </w:r>
      <w:r>
        <w:t xml:space="preserve">are recorded in</w:t>
      </w:r>
      <w:r>
        <w:t xml:space="preserve"> </w:t>
      </w:r>
      <w:r>
        <w:rPr>
          <w:rStyle w:val="VerbatimChar"/>
        </w:rPr>
        <w:t xml:space="preserve">Maintenance_and_Evolution.md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End of Software Requirements Specification</w:t>
      </w:r>
    </w:p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GB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github.com/NketiaAsubontengErnest/HealthEasy-G" TargetMode="External" /><Relationship Type="http://schemas.openxmlformats.org/officeDocument/2006/relationships/hyperlink" Id="rId9" Target="https://healtheasy-g.vercel.ap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github.com/NketiaAsubontengErnest/HealthEasy-G" TargetMode="External" /><Relationship Type="http://schemas.openxmlformats.org/officeDocument/2006/relationships/hyperlink" Id="rId9" Target="https://healtheasy-g.vercel.ap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Software Requirements Specification</dc:title>
  <dc:creator>Group: Architects — CSCD602 Advance Software Development, University of Ghana</dc:creator>
  <dc:language>en-GB</dc:language>
  <cp:keywords/>
  <dcterms:created xsi:type="dcterms:W3CDTF">2026-08-14T12:04:13Z</dcterms:created>
  <dcterms:modified xsi:type="dcterms:W3CDTF">2026-08-14T12:04:13Z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August 2026</vt:lpwstr>
  </property>
  <property fmtid="{D5CDD505-2E9C-101B-9397-08002B2CF9AE}" pid="3" name="subtitle">
    <vt:lpwstr>HealthEasy-G Hospital Management System</vt:lpwstr>
  </property>
</Properties>
</file>