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8.png" ContentType="image/png"/>
  <Override PartName="/word/media/rId32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 Documentation</w:t>
      </w:r>
    </w:p>
    <w:p>
      <w:pPr>
        <w:pStyle w:val="Subtitle"/>
      </w:pPr>
      <w:r>
        <w:t xml:space="preserve">HealthEasy-G Hospital Management System</w:t>
      </w:r>
    </w:p>
    <w:p>
      <w:pPr>
        <w:pStyle w:val="Author"/>
      </w:pPr>
      <w:r>
        <w:t xml:space="preserve">Group: Architects — CSCD602 Advance Software Development, University of Ghana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esign-documentation"/>
    <w:p>
      <w:pPr>
        <w:pStyle w:val="Heading1"/>
      </w:pPr>
      <w:r>
        <w:t xml:space="preserve">Design Documentation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HealthEasy — HealthEasy-G Hospital Management System</w:t>
      </w:r>
      <w:r>
        <w:t xml:space="preserve"> </w:t>
      </w:r>
      <w:r>
        <w:rPr>
          <w:b/>
          <w:bCs/>
        </w:rPr>
        <w:t xml:space="preserve">Group:</w:t>
      </w:r>
      <w:r>
        <w:t xml:space="preserve"> </w:t>
      </w:r>
      <w:r>
        <w:t xml:space="preserve">Architects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CSCD602 Advance Software Development, University of Ghana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design-principles"/>
    <w:p>
      <w:pPr>
        <w:pStyle w:val="Heading1"/>
      </w:pPr>
      <w:r>
        <w:t xml:space="preserve">1. Design Principles</w:t>
      </w:r>
    </w:p>
    <w:p>
      <w:pPr>
        <w:pStyle w:val="FirstParagraph"/>
      </w:pPr>
      <w:r>
        <w:t xml:space="preserve">Four principles governed every design decision. They are stated here because the rest of</w:t>
      </w:r>
      <w:r>
        <w:t xml:space="preserve"> </w:t>
      </w:r>
      <w:r>
        <w:t xml:space="preserve">this document is best read as their consequence.</w:t>
      </w:r>
    </w:p>
    <w:p>
      <w:pPr>
        <w:pStyle w:val="BodyText"/>
      </w:pPr>
      <w:r>
        <w:rPr>
          <w:b/>
          <w:bCs/>
        </w:rPr>
        <w:t xml:space="preserve">1. The server is the only authority.</w:t>
      </w:r>
      <w:r>
        <w:t xml:space="preserve"> </w:t>
      </w:r>
      <w:r>
        <w:t xml:space="preserve">Anything the browser sends can be forged. Identity, role and every authorisation decision are</w:t>
      </w:r>
      <w:r>
        <w:t xml:space="preserve"> </w:t>
      </w:r>
      <w:r>
        <w:t xml:space="preserve">therefore established server-side from a signed session cookie. Client-side guards exist only</w:t>
      </w:r>
      <w:r>
        <w:t xml:space="preserve"> </w:t>
      </w:r>
      <w:r>
        <w:t xml:space="preserve">to give the user a useful message.</w:t>
      </w:r>
    </w:p>
    <w:p>
      <w:pPr>
        <w:pStyle w:val="BodyText"/>
      </w:pPr>
      <w:r>
        <w:rPr>
          <w:b/>
          <w:bCs/>
        </w:rPr>
        <w:t xml:space="preserve">2. One boundary for each concern.</w:t>
      </w:r>
      <w:r>
        <w:t xml:space="preserve"> </w:t>
      </w:r>
      <w:r>
        <w:t xml:space="preserve">Access policy is declared in exactly one file. Storage-to-presentation conversion happens in</w:t>
      </w:r>
      <w:r>
        <w:t xml:space="preserve"> </w:t>
      </w:r>
      <w:r>
        <w:t xml:space="preserve">exactly one file. Date parsing and formatting happen in exactly one file. This is deliberate:</w:t>
      </w:r>
      <w:r>
        <w:t xml:space="preserve"> </w:t>
      </w:r>
      <w:r>
        <w:t xml:space="preserve">a rule that exists in one place can be audited; a rule scattered across twenty-four route</w:t>
      </w:r>
      <w:r>
        <w:t xml:space="preserve"> </w:t>
      </w:r>
      <w:r>
        <w:t xml:space="preserve">handlers cannot.</w:t>
      </w:r>
    </w:p>
    <w:p>
      <w:pPr>
        <w:pStyle w:val="BodyText"/>
      </w:pPr>
      <w:r>
        <w:rPr>
          <w:b/>
          <w:bCs/>
        </w:rPr>
        <w:t xml:space="preserve">3. Fail closed.</w:t>
      </w:r>
      <w:r>
        <w:t xml:space="preserve"> </w:t>
      </w:r>
      <w:r>
        <w:t xml:space="preserve">An endpoint with no declared policy is denied, not permitted. An unrecognised enum falls back</w:t>
      </w:r>
      <w:r>
        <w:t xml:space="preserve"> </w:t>
      </w:r>
      <w:r>
        <w:t xml:space="preserve">to the safest value. A write that cannot complete is reported, never silently dropped.</w:t>
      </w:r>
    </w:p>
    <w:p>
      <w:pPr>
        <w:pStyle w:val="BodyText"/>
      </w:pPr>
      <w:r>
        <w:rPr>
          <w:b/>
          <w:bCs/>
        </w:rPr>
        <w:t xml:space="preserve">4. Derive rather than store.</w:t>
      </w:r>
      <w:r>
        <w:t xml:space="preserve"> </w:t>
      </w:r>
      <w:r>
        <w:t xml:space="preserve">Waiting time, stock status, licence expiry status and DHIMS2 attendance figures are computed</w:t>
      </w:r>
      <w:r>
        <w:t xml:space="preserve"> </w:t>
      </w:r>
      <w:r>
        <w:t xml:space="preserve">from their underlying facts at read time. A stored copy is a copy that can disagree with</w:t>
      </w:r>
      <w:r>
        <w:t xml:space="preserve"> </w:t>
      </w:r>
      <w:r>
        <w:t xml:space="preserve">reality.</w:t>
      </w:r>
    </w:p>
    <w:p>
      <w:r>
        <w:pict>
          <v:rect style="width:0;height:1.5pt" o:hralign="center" o:hrstd="t" o:hr="t"/>
        </w:pict>
      </w:r>
    </w:p>
    <w:bookmarkEnd w:id="10"/>
    <w:bookmarkStart w:id="21" w:name="system-architecture"/>
    <w:p>
      <w:pPr>
        <w:pStyle w:val="Heading1"/>
      </w:pPr>
      <w:r>
        <w:t xml:space="preserve">2. System Architecture</w:t>
      </w:r>
    </w:p>
    <w:bookmarkStart w:id="11" w:name="architectural-style"/>
    <w:p>
      <w:pPr>
        <w:pStyle w:val="Heading2"/>
      </w:pPr>
      <w:r>
        <w:t xml:space="preserve">2.1 Architectural Style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layered architecture within a serverless deployment model</w:t>
      </w:r>
      <w:r>
        <w:t xml:space="preserve">. Next.js App</w:t>
      </w:r>
      <w:r>
        <w:t xml:space="preserve"> </w:t>
      </w:r>
      <w:r>
        <w:t xml:space="preserve">Router provides both the presentation layer (React Server and Client Components) and the</w:t>
      </w:r>
      <w:r>
        <w:t xml:space="preserve"> </w:t>
      </w:r>
      <w:r>
        <w:t xml:space="preserve">application layer (Route Handlers) in one deployable unit, with Prisma as the data-access</w:t>
      </w:r>
      <w:r>
        <w:t xml:space="preserve"> </w:t>
      </w:r>
      <w:r>
        <w:t xml:space="preserve">layer over PostgreSQL.</w:t>
      </w:r>
    </w:p>
    <w:p>
      <w:pPr>
        <w:pStyle w:val="BodyText"/>
      </w:pPr>
      <w:r>
        <w:t xml:space="preserve">A layered style was chosen over microservices because the domain is a single bounded</w:t>
      </w:r>
      <w:r>
        <w:t xml:space="preserve"> </w:t>
      </w:r>
      <w:r>
        <w:t xml:space="preserve">context — one hospital’s operations — with heavily interconnected data. Splitting patient,</w:t>
      </w:r>
      <w:r>
        <w:t xml:space="preserve"> </w:t>
      </w:r>
      <w:r>
        <w:t xml:space="preserve">clinical, pharmacy and billing into separate services would have introduced distributed</w:t>
      </w:r>
      <w:r>
        <w:t xml:space="preserve"> </w:t>
      </w:r>
      <w:r>
        <w:t xml:space="preserve">transactions across boundaries that must be atomic (dispensing and stock deduction; claim</w:t>
      </w:r>
      <w:r>
        <w:t xml:space="preserve"> </w:t>
      </w:r>
      <w:r>
        <w:t xml:space="preserve">batching and claim stamping), for no compensating benefit at this scale.</w:t>
      </w:r>
    </w:p>
    <w:bookmarkEnd w:id="11"/>
    <w:bookmarkStart w:id="15" w:name="layered-view"/>
    <w:p>
      <w:pPr>
        <w:pStyle w:val="Heading2"/>
      </w:pPr>
      <w:r>
        <w:t xml:space="preserve">2.2 Layered View</w:t>
      </w:r>
    </w:p>
    <w:p>
      <w:pPr>
        <w:pStyle w:val="FirstParagraph"/>
      </w:pPr>
      <w:r>
        <w:drawing>
          <wp:inline>
            <wp:extent cx="5334000" cy="2435645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iagrams/design_documentation-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6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responsibility-of-each-layer"/>
    <w:p>
      <w:pPr>
        <w:pStyle w:val="Heading2"/>
      </w:pPr>
      <w:r>
        <w:t xml:space="preserve">2.3 Responsibility of Each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state, collect input, explain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authorisation decisions of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perimeter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identity; permit or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a use case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the perimeter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invariants that outlive any one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 on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and 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 policy</w:t>
            </w:r>
          </w:p>
        </w:tc>
      </w:tr>
    </w:tbl>
    <w:bookmarkEnd w:id="16"/>
    <w:bookmarkStart w:id="20" w:name="request-lifecycle"/>
    <w:p>
      <w:pPr>
        <w:pStyle w:val="Heading2"/>
      </w:pPr>
      <w:r>
        <w:t xml:space="preserve">2.4 Request Lifecycle</w:t>
      </w:r>
    </w:p>
    <w:p>
      <w:pPr>
        <w:pStyle w:val="FirstParagraph"/>
      </w:pPr>
      <w:r>
        <w:t xml:space="preserve">Every request follows the same path. This is what makes the security model reviewable.</w:t>
      </w:r>
    </w:p>
    <w:p>
      <w:pPr>
        <w:pStyle w:val="BodyText"/>
      </w:pPr>
      <w:r>
        <w:drawing>
          <wp:inline>
            <wp:extent cx="5334000" cy="493234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iagrams/design_documentation-0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2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echnology-architecture"/>
    <w:p>
      <w:pPr>
        <w:pStyle w:val="Heading1"/>
      </w:pPr>
      <w:r>
        <w:t xml:space="preserve">3. Technology Architecture</w:t>
      </w:r>
    </w:p>
    <w:bookmarkStart w:id="25" w:name="deployment-topology"/>
    <w:p>
      <w:pPr>
        <w:pStyle w:val="Heading2"/>
      </w:pPr>
      <w:r>
        <w:t xml:space="preserve">3.1 Deployment Topology</w:t>
      </w:r>
    </w:p>
    <w:p>
      <w:pPr>
        <w:pStyle w:val="FirstParagraph"/>
      </w:pPr>
      <w:r>
        <w:drawing>
          <wp:inline>
            <wp:extent cx="5334000" cy="234567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iagrams/design_documentation-0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technology-choices-and-justification"/>
    <w:p>
      <w:pPr>
        <w:pStyle w:val="Heading2"/>
      </w:pPr>
      <w:r>
        <w:t xml:space="preserve">3.2 Technology Choices and Justification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App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and client code in one deployable; server components keep data access off the client; native middleware for a security perimeter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React SPA + Express API — two deployments, duplicated types, and a perimeter that must be re-implemented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Compile-time detection of shape mismatches, which is precisely the class of defect that plagued the early codebase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— the storage/presentation mismatch would have remained invisible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types keep the schema and code in step; parameterised queries eliminate injection; first-class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SQL — faster but forfeits type safety and migration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integrity, transactions, native date and enum types, JSON columns for genuinely variable structures (ICD lists, order arrays)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— clinical data is highly relational; referential integrity would move into application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signed cookie via Web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Stateless, verifiable at the edge, no session store; identical code in Edge and Node runtimes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library — an unnecessary dependency for one signing scheme; server-side sessions — needs a store, defeats edge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bcrypt, 10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 slowness; well-understood; widely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SHA — unusable for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classes keep style local to markup; dark mode by variant rather than a second stylesheet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modules — more files, harder theme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rule-engine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paid API; runs offline; the fallback is deterministic and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LLM API — cost, and a hard dependency on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built-in test runner + 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additional dependencies; runs the TypeScript sources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— heavier configuration for no gain at this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Next.js support, preview deployments, required by the coursework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— no benefit for an assessed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8" w:name="use-case-model"/>
    <w:p>
      <w:pPr>
        <w:pStyle w:val="Heading1"/>
      </w:pPr>
      <w:r>
        <w:t xml:space="preserve">4. Use-Case Model</w:t>
      </w:r>
    </w:p>
    <w:bookmarkStart w:id="31" w:name="Xbb30bbb632840b5e2d4b11698f81540d5ab85b7"/>
    <w:p>
      <w:pPr>
        <w:pStyle w:val="Heading2"/>
      </w:pPr>
      <w:r>
        <w:t xml:space="preserve">4.1 Use-Case Diagram — Patient Administration and Clinical Care</w:t>
      </w:r>
    </w:p>
    <w:p>
      <w:pPr>
        <w:pStyle w:val="FirstParagraph"/>
      </w:pPr>
      <w:r>
        <w:drawing>
          <wp:inline>
            <wp:extent cx="5334000" cy="181548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iagrams/design_documentation-0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Xacd5ac43e59793a0fe1a32fb5e052b68c757cb9"/>
    <w:p>
      <w:pPr>
        <w:pStyle w:val="Heading2"/>
      </w:pPr>
      <w:r>
        <w:t xml:space="preserve">4.2 Use-Case Diagram — Diagnostics, Pharmacy and Revenue</w:t>
      </w:r>
    </w:p>
    <w:p>
      <w:pPr>
        <w:pStyle w:val="FirstParagraph"/>
      </w:pPr>
      <w:r>
        <w:drawing>
          <wp:inline>
            <wp:extent cx="5334000" cy="131743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iagrams/design_documentation-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7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fa59d2743abb083216fd5d3217a70b4867e97c5"/>
    <w:p>
      <w:pPr>
        <w:pStyle w:val="Heading2"/>
      </w:pPr>
      <w:r>
        <w:t xml:space="preserve">4.3 Use-Case Specification — Conduct Consultation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clinical encounter and raise the orders arising from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is authenticated; patient exists in the MPI; patient is in the doctor’s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selects a patient from the consultation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System presents the patient’s demographics, allergies, chronic conditions, latest vitals and previous encounters.</w:t>
            </w:r>
            <w:r>
              <w:t xml:space="preserve">2. Doctor records presenting complaint, history, examination and plan.</w:t>
            </w:r>
            <w:r>
              <w:t xml:space="preserve">3. Doctor assigns one or more ICD-10 diagnoses.</w:t>
            </w:r>
            <w:r>
              <w:t xml:space="preserve">4. Doctor raises orders (laboratory, radiology, prescription, admission, procedure).</w:t>
            </w:r>
            <w:r>
              <w:t xml:space="preserve">5. Doctor signs the encounter.</w:t>
            </w:r>
            <w:r>
              <w:t xml:space="preserve">6. System persists the encounter attributed to the doctor’s session identity.</w:t>
            </w:r>
            <w:r>
              <w:t xml:space="preserve">7. For each order the system creates the departmental work item and a billing line.</w:t>
            </w:r>
            <w:r>
              <w:t xml:space="preserve">8. For an insured patient with covered items the system prepares an NHIS claim line.</w:t>
            </w:r>
            <w:r>
              <w:t xml:space="preserve">9. System advances the queue entry to Completed.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4a. Doctor requests decision support: system returns prescribing suggestions restricted to stocked medicines with allergy conflicts flagged.</w:t>
            </w:r>
            <w:r>
              <w:t xml:space="preserve">7a. A departmental work item fails to create: the encounter is retained and the specific failure is reported to the doctor.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 is on the patient’s record; work items exist in the receiving departments; charges are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FR-EMR-01 … FR-EMR-07, FR-AI-01 … FR-AI-06</w:t>
            </w:r>
          </w:p>
        </w:tc>
      </w:tr>
    </w:tbl>
    <w:bookmarkEnd w:id="36"/>
    <w:bookmarkStart w:id="37" w:name="use-case-specification-dispense-medicine"/>
    <w:p>
      <w:pPr>
        <w:pStyle w:val="Heading2"/>
      </w:pPr>
      <w:r>
        <w:t xml:space="preserve">4.4 Use-Case Specification — Dispense Medicine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prescribed medicine and keep the stock ledger truthful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Pharmacist is authenticated and holds</w:t>
            </w:r>
            <w:r>
              <w:t xml:space="preserve"> </w:t>
            </w:r>
            <w:r>
              <w:rPr>
                <w:rStyle w:val="VerbatimChar"/>
              </w:rPr>
              <w:t xml:space="preserve">DISPENSE_MEDICINE</w:t>
            </w:r>
            <w:r>
              <w:t xml:space="preserve">; a prescription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Pharmacist selects the prescription.</w:t>
            </w:r>
            <w:r>
              <w:t xml:space="preserve">2. System presents stock in First-Expiry-First-Out order.</w:t>
            </w:r>
            <w:r>
              <w:t xml:space="preserve">3. Pharmacist selects a batch and quantity.</w:t>
            </w:r>
            <w:r>
              <w:t xml:space="preserve">4. System opens a transaction.</w:t>
            </w:r>
            <w:r>
              <w:t xml:space="preserve">5. System verifies the batch exists, holds sufficient quantity, and has not expired.</w:t>
            </w:r>
            <w:r>
              <w:t xml:space="preserve">6. System writes the dispense record attributed to the pharmacist.</w:t>
            </w:r>
            <w:r>
              <w:t xml:space="preserve">7. System decrements the batch conditionally on sufficient stock still being present.</w:t>
            </w:r>
            <w:r>
              <w:t xml:space="preserve">8. System commits.</w:t>
            </w:r>
            <w:r>
              <w:t xml:space="preserve">9. System writes an audit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5a. Batch unknown → 404, no change.</w:t>
            </w:r>
            <w:r>
              <w:t xml:space="preserve">5b. Insufficient stock → 409 stating quantity held and requested.</w:t>
            </w:r>
            <w:r>
              <w:t xml:space="preserve">5c. Batch expired → 409 stating the expiry date.</w:t>
            </w:r>
            <w:r>
              <w:t xml:space="preserve">7a. A concurrent dispense depleted the batch → the conditional update matches nothing, the transaction rolls back, and the pharmacist is asked to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both the dispense record and the stock deduction exist, or neither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FR-PHM-03 … FR-PHM-06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7" w:name="class-design"/>
    <w:p>
      <w:pPr>
        <w:pStyle w:val="Heading1"/>
      </w:pPr>
      <w:r>
        <w:t xml:space="preserve">5. Class Design</w:t>
      </w:r>
    </w:p>
    <w:bookmarkStart w:id="42" w:name="domain-model"/>
    <w:p>
      <w:pPr>
        <w:pStyle w:val="Heading2"/>
      </w:pPr>
      <w:r>
        <w:t xml:space="preserve">5.1 Domain Model</w:t>
      </w:r>
    </w:p>
    <w:p>
      <w:pPr>
        <w:pStyle w:val="FirstParagraph"/>
      </w:pPr>
      <w:r>
        <w:drawing>
          <wp:inline>
            <wp:extent cx="5334000" cy="239387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iagrams/design_documentation-0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security-class-design"/>
    <w:p>
      <w:pPr>
        <w:pStyle w:val="Heading2"/>
      </w:pPr>
      <w:r>
        <w:t xml:space="preserve">5.2 Security Class Design</w:t>
      </w:r>
    </w:p>
    <w:p>
      <w:pPr>
        <w:pStyle w:val="FirstParagraph"/>
      </w:pPr>
      <w:r>
        <w:drawing>
          <wp:inline>
            <wp:extent cx="5334000" cy="465921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iagrams/design_documentation-0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4" w:name="sequence-diagrams"/>
    <w:p>
      <w:pPr>
        <w:pStyle w:val="Heading1"/>
      </w:pPr>
      <w:r>
        <w:t xml:space="preserve">6. Sequence Diagrams</w:t>
      </w:r>
    </w:p>
    <w:bookmarkStart w:id="51" w:name="staff-authentication"/>
    <w:p>
      <w:pPr>
        <w:pStyle w:val="Heading2"/>
      </w:pPr>
      <w:r>
        <w:t xml:space="preserve">6.1 Staff Authentication</w:t>
      </w:r>
    </w:p>
    <w:p>
      <w:pPr>
        <w:pStyle w:val="FirstParagraph"/>
      </w:pPr>
      <w:r>
        <w:drawing>
          <wp:inline>
            <wp:extent cx="5334000" cy="634617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iagrams/design_documentation-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6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consultation-and-order-fan-out"/>
    <w:p>
      <w:pPr>
        <w:pStyle w:val="Heading2"/>
      </w:pPr>
      <w:r>
        <w:t xml:space="preserve">6.2 Consultation and Order Fan-Out</w:t>
      </w:r>
    </w:p>
    <w:p>
      <w:pPr>
        <w:pStyle w:val="FirstParagraph"/>
      </w:pPr>
      <w:r>
        <w:t xml:space="preserve">This is the sequence that makes the record</w:t>
      </w:r>
      <w:r>
        <w:t xml:space="preserve"> </w:t>
      </w:r>
      <w:r>
        <w:t xml:space="preserve">“follow the patient”</w:t>
      </w:r>
      <w:r>
        <w:t xml:space="preserve">. One clinical action produces</w:t>
      </w:r>
      <w:r>
        <w:t xml:space="preserve"> </w:t>
      </w:r>
      <w:r>
        <w:t xml:space="preserve">work items in three other departments.</w:t>
      </w:r>
    </w:p>
    <w:p>
      <w:pPr>
        <w:pStyle w:val="BodyText"/>
      </w:pPr>
      <w:r>
        <w:drawing>
          <wp:inline>
            <wp:extent cx="5334000" cy="473954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iagrams/design_documentation-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dispensing-with-atomic-stock-deduction"/>
    <w:p>
      <w:pPr>
        <w:pStyle w:val="Heading2"/>
      </w:pPr>
      <w:r>
        <w:t xml:space="preserve">6.3 Dispensing with Atomic Stock Deduction</w:t>
      </w:r>
    </w:p>
    <w:p>
      <w:pPr>
        <w:pStyle w:val="FirstParagraph"/>
      </w:pPr>
      <w:r>
        <w:drawing>
          <wp:inline>
            <wp:extent cx="5334000" cy="652290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iagrams/design_documentation-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access-denial-the-dpc-rule-in-action"/>
    <w:p>
      <w:pPr>
        <w:pStyle w:val="Heading2"/>
      </w:pPr>
      <w:r>
        <w:t xml:space="preserve">6.4 Access Denial — the DPC Rule in Action</w:t>
      </w:r>
    </w:p>
    <w:p>
      <w:pPr>
        <w:pStyle w:val="FirstParagraph"/>
      </w:pPr>
      <w:r>
        <w:drawing>
          <wp:inline>
            <wp:extent cx="5334000" cy="359884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iagrams/design_documentation-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activity-diagrams"/>
    <w:p>
      <w:pPr>
        <w:pStyle w:val="Heading1"/>
      </w:pPr>
      <w:r>
        <w:t xml:space="preserve">7. Activity Diagrams</w:t>
      </w:r>
    </w:p>
    <w:bookmarkStart w:id="68" w:name="out-patient-journey-end-to-end"/>
    <w:p>
      <w:pPr>
        <w:pStyle w:val="Heading2"/>
      </w:pPr>
      <w:r>
        <w:t xml:space="preserve">7.1 Out-Patient Journey End to End</w:t>
      </w:r>
    </w:p>
    <w:p>
      <w:pPr>
        <w:pStyle w:val="FirstParagraph"/>
      </w:pPr>
      <w:r>
        <w:drawing>
          <wp:inline>
            <wp:extent cx="5334000" cy="1253168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iagrams/design_documentation-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laboratory-order-to-verified-result"/>
    <w:p>
      <w:pPr>
        <w:pStyle w:val="Heading2"/>
      </w:pPr>
      <w:r>
        <w:t xml:space="preserve">7.2 Laboratory Order to Verified Result</w:t>
      </w:r>
    </w:p>
    <w:p>
      <w:pPr>
        <w:pStyle w:val="FirstParagraph"/>
      </w:pPr>
      <w:r>
        <w:drawing>
          <wp:inline>
            <wp:extent cx="5334000" cy="102824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iagrams/design_documentation-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nhis-claim-lifecycle"/>
    <w:p>
      <w:pPr>
        <w:pStyle w:val="Heading2"/>
      </w:pPr>
      <w:r>
        <w:t xml:space="preserve">7.3 NHIS Claim Lifecycle</w:t>
      </w:r>
    </w:p>
    <w:p>
      <w:pPr>
        <w:pStyle w:val="FirstParagraph"/>
      </w:pPr>
      <w:r>
        <w:drawing>
          <wp:inline>
            <wp:extent cx="5334000" cy="854725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iagrams/design_documentation-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7" w:name="data-design"/>
    <w:p>
      <w:pPr>
        <w:pStyle w:val="Heading1"/>
      </w:pPr>
      <w:r>
        <w:t xml:space="preserve">8. Data Design</w:t>
      </w:r>
    </w:p>
    <w:bookmarkStart w:id="81" w:name="entity-relationship-diagram"/>
    <w:p>
      <w:pPr>
        <w:pStyle w:val="Heading2"/>
      </w:pPr>
      <w:r>
        <w:t xml:space="preserve">8.1 Entity-Relationship Diagram</w:t>
      </w:r>
    </w:p>
    <w:p>
      <w:pPr>
        <w:pStyle w:val="FirstParagraph"/>
      </w:pPr>
      <w:r>
        <w:drawing>
          <wp:inline>
            <wp:extent cx="5334000" cy="236174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diagrams/design_documentation-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database-design-decisions"/>
    <w:p>
      <w:pPr>
        <w:pStyle w:val="Heading2"/>
      </w:pPr>
      <w:r>
        <w:t xml:space="preserve">8.2 Database Design Decisions</w:t>
      </w:r>
    </w:p>
    <w:p>
      <w:pPr>
        <w:pStyle w:val="FirstParagraph"/>
      </w:pPr>
      <w:r>
        <w:rPr>
          <w:b/>
          <w:bCs/>
        </w:rPr>
        <w:t xml:space="preserve">Uniqueness as the integrity mechanism.</w:t>
      </w:r>
      <w:r>
        <w:t xml:space="preserve"> </w:t>
      </w:r>
      <w:r>
        <w:rPr>
          <w:rStyle w:val="VerbatimChar"/>
        </w:rPr>
        <w:t xml:space="preserve">ghanaCardNo</w:t>
      </w:r>
      <w:r>
        <w:t xml:space="preserve">,</w:t>
      </w:r>
      <w:r>
        <w:t xml:space="preserve"> </w:t>
      </w:r>
      <w:r>
        <w:rPr>
          <w:rStyle w:val="VerbatimChar"/>
        </w:rPr>
        <w:t xml:space="preserve">mrn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barcodeNo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pacsAccessionNo</w:t>
      </w:r>
      <w:r>
        <w:t xml:space="preserve"> </w:t>
      </w:r>
      <w:r>
        <w:t xml:space="preserve">all carry</w:t>
      </w:r>
      <w:r>
        <w:t xml:space="preserve"> </w:t>
      </w:r>
      <w:r>
        <w:t xml:space="preserve">unique constraints. Document numbers are allocated by generating a candidate and letting the</w:t>
      </w:r>
      <w:r>
        <w:t xml:space="preserve"> </w:t>
      </w:r>
      <w:r>
        <w:t xml:space="preserve">unique index settle collisions, with retry — because two clerks registering simultaneously</w:t>
      </w:r>
      <w:r>
        <w:t xml:space="preserve"> </w:t>
      </w:r>
      <w:r>
        <w:t xml:space="preserve">would otherwise produce the same number from a</w:t>
      </w:r>
      <w:r>
        <w:t xml:space="preserve"> </w:t>
      </w:r>
      <w:r>
        <w:rPr>
          <w:rStyle w:val="VerbatimChar"/>
        </w:rPr>
        <w:t xml:space="preserve">count() + 1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Native date types.</w:t>
      </w:r>
      <w:r>
        <w:t xml:space="preserve"> </w:t>
      </w:r>
      <w:r>
        <w:t xml:space="preserve">Every date is a PostgreSQL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Dates were initially</w:t>
      </w:r>
      <w:r>
        <w:t xml:space="preserve"> </w:t>
      </w:r>
      <w:r>
        <w:t xml:space="preserve">stored as text, which made every comparison lexical:</w:t>
      </w:r>
      <w:r>
        <w:t xml:space="preserve"> </w:t>
      </w:r>
      <w:r>
        <w:rPr>
          <w:rStyle w:val="VerbatimChar"/>
        </w:rPr>
        <w:t xml:space="preserve">'2026-9-1'</w:t>
      </w:r>
      <w:r>
        <w:t xml:space="preserve"> </w:t>
      </w:r>
      <w:r>
        <w:t xml:space="preserve">sorts after</w:t>
      </w:r>
      <w:r>
        <w:t xml:space="preserve"> </w:t>
      </w:r>
      <w:r>
        <w:rPr>
          <w:rStyle w:val="VerbatimChar"/>
        </w:rPr>
        <w:t xml:space="preserve">'2026-10-01'</w:t>
      </w:r>
      <w:r>
        <w:t xml:space="preserve">,</w:t>
      </w:r>
      <w:r>
        <w:t xml:space="preserve"> </w:t>
      </w:r>
      <w:r>
        <w:t xml:space="preserve">so an expiry check or a month filter silently returned the wrong rows. Migration</w:t>
      </w:r>
      <w:r>
        <w:t xml:space="preserve"> </w:t>
      </w:r>
      <w:r>
        <w:rPr>
          <w:rStyle w:val="VerbatimChar"/>
        </w:rPr>
        <w:t xml:space="preserve">20260814000000_dates_and_session_security</w:t>
      </w:r>
      <w:r>
        <w:t xml:space="preserve"> </w:t>
      </w:r>
      <w:r>
        <w:t xml:space="preserve">converts them in place.</w:t>
      </w:r>
    </w:p>
    <w:p>
      <w:pPr>
        <w:pStyle w:val="BodyText"/>
      </w:pPr>
      <w:r>
        <w:rPr>
          <w:b/>
          <w:bCs/>
        </w:rPr>
        <w:t xml:space="preserve">Enumerations in the database.</w:t>
      </w:r>
      <w:r>
        <w:t xml:space="preserve"> </w:t>
      </w:r>
      <w:r>
        <w:rPr>
          <w:rStyle w:val="VerbatimChar"/>
        </w:rPr>
        <w:t xml:space="preserve">PatientCategory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BedStatus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LicensingBody</w:t>
      </w:r>
      <w:r>
        <w:t xml:space="preserve"> </w:t>
      </w:r>
      <w:r>
        <w:t xml:space="preserve">are PostgreSQL</w:t>
      </w:r>
      <w:r>
        <w:t xml:space="preserve"> </w:t>
      </w:r>
      <w:r>
        <w:t xml:space="preserve">enums, so an invalid value cannot be stored at all.</w:t>
      </w:r>
    </w:p>
    <w:p>
      <w:pPr>
        <w:pStyle w:val="BodyText"/>
      </w:pPr>
      <w:r>
        <w:rPr>
          <w:b/>
          <w:bCs/>
        </w:rPr>
        <w:t xml:space="preserve">JSON where structure is genuinely variable.</w:t>
      </w:r>
      <w:r>
        <w:t xml:space="preserve"> </w:t>
      </w:r>
      <w:r>
        <w:rPr>
          <w:rStyle w:val="VerbatimChar"/>
        </w:rPr>
        <w:t xml:space="preserve">icdDiagnoses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lineItems</w:t>
      </w:r>
      <w:r>
        <w:t xml:space="preserve"> </w:t>
      </w:r>
      <w:r>
        <w:t xml:space="preserve">are JSON columns. Each is a list whose length and shape vary per record and which</w:t>
      </w:r>
      <w:r>
        <w:t xml:space="preserve"> </w:t>
      </w:r>
      <w:r>
        <w:t xml:space="preserve">is always read as a whole. Normalising them would add four tables and four joins for no query</w:t>
      </w:r>
      <w:r>
        <w:t xml:space="preserve"> </w:t>
      </w:r>
      <w:r>
        <w:t xml:space="preserve">benefit.</w:t>
      </w:r>
    </w:p>
    <w:p>
      <w:pPr>
        <w:pStyle w:val="BodyText"/>
      </w:pPr>
      <w:r>
        <w:rPr>
          <w:b/>
          <w:bCs/>
        </w:rPr>
        <w:t xml:space="preserve">Cascade on patient deletion.</w:t>
      </w:r>
      <w:r>
        <w:t xml:space="preserve"> </w:t>
      </w:r>
      <w:r>
        <w:t xml:space="preserve">Clinical children cascade from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. Audit entries do</w:t>
      </w:r>
      <w:r>
        <w:t xml:space="preserve"> </w:t>
      </w:r>
      <w:r>
        <w:t xml:space="preserve">not — the trail must outlive the record it describes.</w:t>
      </w:r>
    </w:p>
    <w:p>
      <w:pPr>
        <w:pStyle w:val="BodyText"/>
      </w:pPr>
      <w:r>
        <w:rPr>
          <w:b/>
          <w:bCs/>
        </w:rPr>
        <w:t xml:space="preserve">Derived, not stored.</w:t>
      </w:r>
      <w:r>
        <w:t xml:space="preserve"> </w:t>
      </w:r>
      <w:r>
        <w:t xml:space="preserve">Stock status, waiting minutes, licence expiry status and DHIMS2</w:t>
      </w:r>
      <w:r>
        <w:t xml:space="preserve"> </w:t>
      </w:r>
      <w:r>
        <w:t xml:space="preserve">attendance are computed at read time. A stored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drifts from the quantity and</w:t>
      </w:r>
      <w:r>
        <w:t xml:space="preserve"> </w:t>
      </w:r>
      <w:r>
        <w:t xml:space="preserve">expiry it claims to describe.</w:t>
      </w:r>
    </w:p>
    <w:bookmarkEnd w:id="82"/>
    <w:bookmarkStart w:id="86" w:name="data-dictionary-selected-tables"/>
    <w:p>
      <w:pPr>
        <w:pStyle w:val="Heading2"/>
      </w:pPr>
      <w:r>
        <w:t xml:space="preserve">8.3 Data Dictionary — Selected Tables</w:t>
      </w:r>
    </w:p>
    <w:bookmarkStart w:id="83" w:name="patient"/>
    <w:p>
      <w:pPr>
        <w:pStyle w:val="Heading3"/>
      </w:pPr>
      <w:r>
        <w:rPr>
          <w:rStyle w:val="VerbatimChar"/>
        </w:rPr>
        <w:t xml:space="preserve">Patient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Record Number,</w:t>
            </w:r>
            <w:r>
              <w:t xml:space="preserve"> </w:t>
            </w:r>
            <w:r>
              <w:rPr>
                <w:rStyle w:val="VerbatimChar"/>
              </w:rPr>
              <w:t xml:space="preserve">HG-YYYY-NNNN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Registering facility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/ Female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ghanaCardNo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identity number — the duplicate-prevention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nhisNumber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NHIS membership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nhisStatus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/ Expired / Pending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nhisExpiry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/ NHIS / CORPORATE / PRIVATE_INSURANCE / EXEMPTED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allergies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drug allergies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chronicConditions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O+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ABO/Rh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Data-processing consent</w:t>
            </w:r>
          </w:p>
        </w:tc>
      </w:tr>
    </w:tbl>
    <w:bookmarkEnd w:id="83"/>
    <w:bookmarkStart w:id="84" w:name="pharmacybatch"/>
    <w:p>
      <w:pPr>
        <w:pStyle w:val="Heading3"/>
      </w:pPr>
      <w:r>
        <w:rPr>
          <w:rStyle w:val="VerbatimChar"/>
        </w:rPr>
        <w:t xml:space="preserve">PharmacyBatch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batch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drugName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(INN)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dosageForm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Tablet, capsule, injection,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500mg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expiryDate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FEFO order and dispensing refusal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quantityInStock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reorderLevel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Low-stock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controlledSubstance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handling</w:t>
            </w:r>
          </w:p>
        </w:tc>
      </w:tr>
    </w:tbl>
    <w:bookmarkEnd w:id="84"/>
    <w:bookmarkStart w:id="85" w:name="auditlog"/>
    <w:p>
      <w:pPr>
        <w:pStyle w:val="Heading3"/>
      </w:pPr>
      <w:r>
        <w:rPr>
          <w:rStyle w:val="VerbatimChar"/>
        </w:rPr>
        <w:t xml:space="preserve">AuditLog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Actor; nullable so a failed sign-in by an unknown email can still be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name at the time of the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held at the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DISPENSE_MEDICATION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Subject, where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3" w:name="component-design"/>
    <w:p>
      <w:pPr>
        <w:pStyle w:val="Heading1"/>
      </w:pPr>
      <w:r>
        <w:t xml:space="preserve">9. Component Design</w:t>
      </w:r>
    </w:p>
    <w:bookmarkStart w:id="91" w:name="component-diagram"/>
    <w:p>
      <w:pPr>
        <w:pStyle w:val="Heading2"/>
      </w:pPr>
      <w:r>
        <w:t xml:space="preserve">9.1 Component Diagram</w:t>
      </w:r>
    </w:p>
    <w:p>
      <w:pPr>
        <w:pStyle w:val="FirstParagraph"/>
      </w:pPr>
      <w:r>
        <w:drawing>
          <wp:inline>
            <wp:extent cx="5334000" cy="3534578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iagrams/design_documentation-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component-responsibilities"/>
    <w:p>
      <w:pPr>
        <w:pStyle w:val="Heading2"/>
      </w:pPr>
      <w:r>
        <w:t xml:space="preserve">9.2 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unauthenticated traffic; enforce role route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rbac.ts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api-guard.ts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handlers; apply policy; convert thrown errors to 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api-policy.ts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api-policy.ts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 who may call each endpoint and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and verify session tokens; cookie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rate-limit.ts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Throttle repeated failed sign-in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length and range checks on request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Prisma rows to client records and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types,</w:t>
            </w:r>
            <w:r>
              <w:t xml:space="preserve"> </w:t>
            </w:r>
            <w:r>
              <w:rPr>
                <w:rStyle w:val="VerbatimChar"/>
              </w:rPr>
              <w:t xml:space="preserve">hms.ts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collision-free document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error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single client bound to the resolved 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resolve-datasource.ts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resolve-datasource.ts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local or cloud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HMSContext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loaded collections; expose actions; surface failures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api-client.ts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with typed errors; treat 403 as an empty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denied access in the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HMSContext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rbac.ts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01" w:name="user-interface-design"/>
    <w:p>
      <w:pPr>
        <w:pStyle w:val="Heading1"/>
      </w:pPr>
      <w:r>
        <w:t xml:space="preserve">10. User-Interface Design</w:t>
      </w:r>
    </w:p>
    <w:bookmarkStart w:id="94" w:name="design-language"/>
    <w:p>
      <w:pPr>
        <w:pStyle w:val="Heading2"/>
      </w:pPr>
      <w:r>
        <w:t xml:space="preserve">10.1 Design Language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Light, with a persisted dark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site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Newsreader (serif display) with Manrope (sans body) — an editorial voice that distinguishes the product from generic dashboard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Manrope throughout, optimised for dense tabular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clinical green</w:t>
            </w:r>
            <w:r>
              <w:t xml:space="preserve"> </w:t>
            </w:r>
            <w:r>
              <w:rPr>
                <w:rStyle w:val="VerbatimChar"/>
              </w:rPr>
              <w:t xml:space="preserve">#0d6b4e</w:t>
            </w:r>
            <w:r>
              <w:t xml:space="preserve">; a single accent rather than a multi-hue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colours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for waiting, green for in-progress or complete, rose for critical, stone for 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navigation with a sticky header; content on a 12-column responsive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on worklists, low on data-entry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reveals on the public site only; suppressed under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</w:p>
        </w:tc>
      </w:tr>
    </w:tbl>
    <w:bookmarkEnd w:id="94"/>
    <w:bookmarkStart w:id="95" w:name="screen-inventory"/>
    <w:p>
      <w:pPr>
        <w:pStyle w:val="Heading2"/>
      </w:pPr>
      <w:r>
        <w:t xml:space="preserve">10.2 Screen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(content varies by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/patient-registration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OPD / Medical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flow and queues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/patient-flow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desk, clinical, diagnostics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Nurse, Ward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EMR consultation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/emr-consultation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/emr-consultation/[id]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Doctor, Nurse, Ward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Wards and beds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/wards-beds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Ward Manager,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 Technician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/radiology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Radiographer, Radiologist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Pharmacist, Store Keeper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and cashier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/billing-cashier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Cashier,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NHIS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/nhis-claims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Officer,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and procurement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/inventory-procurement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Keeper,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Hospitals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/hospitals-management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Admin, 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/facility-config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Admin, Hospital Admin,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DHIMS2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/dhims2-reports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Director, Records,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Auditor, Super Admin</w:t>
            </w:r>
          </w:p>
        </w:tc>
      </w:tr>
    </w:tbl>
    <w:bookmarkEnd w:id="95"/>
    <w:bookmarkStart w:id="96" w:name="wireframe-operational-dashboard"/>
    <w:p>
      <w:pPr>
        <w:pStyle w:val="Heading2"/>
      </w:pPr>
      <w:r>
        <w:t xml:space="preserve">10.3 Wireframe — Operational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☰  HealthEasy-G          [Search…]  [Facility ▾]      [Role badge] ☾ 🔔 (av)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OVERVIEW       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▸ Dashboard    │  │  Role banner — workstation title and current facility │  │</w:t>
      </w:r>
      <w:r>
        <w:br/>
      </w:r>
      <w:r>
        <w:rPr>
          <w:rStyle w:val="VerbatimChar"/>
        </w:rPr>
        <w:t xml:space="preserve">│                │  │                              [+ Primary role action]  │  │</w:t>
      </w:r>
      <w:r>
        <w:br/>
      </w:r>
      <w:r>
        <w:rPr>
          <w:rStyle w:val="VerbatimChar"/>
        </w:rPr>
        <w:t xml:space="preserve">│ PATIENT ADMIN  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▸ Registration │  ┌──────────┐ ┌──────────┐ ┌──────────┐ ┌──────────┐        │</w:t>
      </w:r>
      <w:r>
        <w:br/>
      </w:r>
      <w:r>
        <w:rPr>
          <w:rStyle w:val="VerbatimChar"/>
        </w:rPr>
        <w:t xml:space="preserve">│ ▸ Flow &amp; Queues│  │ Waiting  │ │ Emergency│ │ Signed   │ │ Pending  │        │</w:t>
      </w:r>
      <w:r>
        <w:br/>
      </w:r>
      <w:r>
        <w:rPr>
          <w:rStyle w:val="VerbatimChar"/>
        </w:rPr>
        <w:t xml:space="preserve">│                │  │    2     │ │    0     │ │    2     │ │    2     │        │</w:t>
      </w:r>
      <w:r>
        <w:br/>
      </w:r>
      <w:r>
        <w:rPr>
          <w:rStyle w:val="VerbatimChar"/>
        </w:rPr>
        <w:t xml:space="preserve">│ CLINICAL       │  └──────────┘ └──────────┘ └──────────┘ └──────────┘        │</w:t>
      </w:r>
      <w:r>
        <w:br/>
      </w:r>
      <w:r>
        <w:rPr>
          <w:rStyle w:val="VerbatimChar"/>
        </w:rPr>
        <w:t xml:space="preserve">│ ▸ EMR          │  ┌──────┐ ┌──────┐ ┌──────┐ ┌──────┐ ┌──────┐               │</w:t>
      </w:r>
      <w:r>
        <w:br/>
      </w:r>
      <w:r>
        <w:rPr>
          <w:rStyle w:val="VerbatimChar"/>
        </w:rPr>
        <w:t xml:space="preserve">│ ▸ Emergency    │  │Start │ │Direc-│ │Queues│ │Emerg-│ │Wards │  quick actions│</w:t>
      </w:r>
      <w:r>
        <w:br/>
      </w:r>
      <w:r>
        <w:rPr>
          <w:rStyle w:val="VerbatimChar"/>
        </w:rPr>
        <w:t xml:space="preserve">│ ▸ Wards &amp; Beds │  │consult│ │tory │ │      │ │ency  │ │      │               │</w:t>
      </w:r>
      <w:r>
        <w:br/>
      </w:r>
      <w:r>
        <w:rPr>
          <w:rStyle w:val="VerbatimChar"/>
        </w:rPr>
        <w:t xml:space="preserve">│                │  └──────┘ └──────┘ └──────┘ └──────┘ └──────┘               │</w:t>
      </w:r>
      <w:r>
        <w:br/>
      </w:r>
      <w:r>
        <w:rPr>
          <w:rStyle w:val="VerbatimChar"/>
        </w:rPr>
        <w:t xml:space="preserve">│ DIAGNOSTICS    │  ┌────────────────────────────────┐ ┌────────────────────┐  │</w:t>
      </w:r>
      <w:r>
        <w:br/>
      </w:r>
      <w:r>
        <w:rPr>
          <w:rStyle w:val="VerbatimChar"/>
        </w:rPr>
        <w:t xml:space="preserve">│ ▸ Laboratory   │  │ Active consultation queue      │ │ HeFRA status       │  │</w:t>
      </w:r>
      <w:r>
        <w:br/>
      </w:r>
      <w:r>
        <w:rPr>
          <w:rStyle w:val="VerbatimChar"/>
        </w:rPr>
        <w:t xml:space="preserve">│ ▸ Radiology    │  │ ┌────┬──────┬────┬──────┬────┐ │ │ Licence  ……………     │  │</w:t>
      </w:r>
      <w:r>
        <w:br/>
      </w:r>
      <w:r>
        <w:rPr>
          <w:rStyle w:val="VerbatimChar"/>
        </w:rPr>
        <w:t xml:space="preserve">│ ▸ Pharmacy     │  │ │Q#  │Name  │MRN │Status│Act │ │ │ Expiry   ……………     │  │</w:t>
      </w:r>
      <w:r>
        <w:br/>
      </w:r>
      <w:r>
        <w:rPr>
          <w:rStyle w:val="VerbatimChar"/>
        </w:rPr>
        <w:t xml:space="preserve">│                │  │ ├────┼──────┼────┼──────┼────┤ │ ├────────────────────┤  │</w:t>
      </w:r>
      <w:r>
        <w:br/>
      </w:r>
      <w:r>
        <w:rPr>
          <w:rStyle w:val="VerbatimChar"/>
        </w:rPr>
        <w:t xml:space="preserve">│ REVENUE        │  │ │OPD-│Kofi  │HG- │In    │[Go]│ │ │ Staff credentials  │  │</w:t>
      </w:r>
      <w:r>
        <w:br/>
      </w:r>
      <w:r>
        <w:rPr>
          <w:rStyle w:val="VerbatimChar"/>
        </w:rPr>
        <w:t xml:space="preserve">│ ▸ Billing      │  │ │001 │Ansah │0001│consult   │ │ │ • Dr K. Mensah  ✓   │  │</w:t>
      </w:r>
      <w:r>
        <w:br/>
      </w:r>
      <w:r>
        <w:rPr>
          <w:rStyle w:val="VerbatimChar"/>
        </w:rPr>
        <w:t xml:space="preserve">│ ▸ NHIS Claims  │  │ └────┴──────┴────┴──────┴────┘ │ │ • Nurse A. Osei ⚠   │  │</w:t>
      </w:r>
      <w:r>
        <w:br/>
      </w:r>
      <w:r>
        <w:rPr>
          <w:rStyle w:val="VerbatimChar"/>
        </w:rPr>
        <w:t xml:space="preserve">│                │  └────────────────────────────────┘ └────────────────────┘  │</w:t>
      </w:r>
      <w:r>
        <w:br/>
      </w:r>
      <w:r>
        <w:rPr>
          <w:rStyle w:val="VerbatimChar"/>
        </w:rPr>
        <w:t xml:space="preserve">│ [Role · Level] │                                                             │</w:t>
      </w:r>
      <w:r>
        <w:br/>
      </w:r>
      <w:r>
        <w:rPr>
          <w:rStyle w:val="VerbatimChar"/>
        </w:rPr>
        <w:t xml:space="preserve">│ [Sign out]     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└────────────────┴─────────────────────────────────────────────────────────────┘</w:t>
      </w:r>
    </w:p>
    <w:bookmarkEnd w:id="96"/>
    <w:bookmarkStart w:id="97" w:name="wireframe-triage-vitals-capture"/>
    <w:p>
      <w:pPr>
        <w:pStyle w:val="Heading2"/>
      </w:pPr>
      <w:r>
        <w:t xml:space="preserve">10.4 Wireframe — Triage Vitals Capture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Triage &amp; Nursing Assessment                          Nurse Abena Osei ☾ (av)│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Select patient  [ Search MRN / name …                                    ▾]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Kofi Owusu Ansah · HG-2026-0001 · M · 41y · O+                         │  │</w:t>
      </w:r>
      <w:r>
        <w:br/>
      </w:r>
      <w:r>
        <w:rPr>
          <w:rStyle w:val="VerbatimChar"/>
        </w:rPr>
        <w:t xml:space="preserve">│  │ ⚠ Allergies: Penicillin, Sulfa Drugs   Chronic: Hypertension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OBSERVATIONS                                    DERIVED                     │</w:t>
      </w:r>
      <w:r>
        <w:br/>
      </w:r>
      <w:r>
        <w:rPr>
          <w:rStyle w:val="VerbatimChar"/>
        </w:rPr>
        <w:t xml:space="preserve">│  ┌───────────────┐ ┌───────────────┐             ┌─────────────────────────┐ │</w:t>
      </w:r>
      <w:r>
        <w:br/>
      </w:r>
      <w:r>
        <w:rPr>
          <w:rStyle w:val="VerbatimChar"/>
        </w:rPr>
        <w:t xml:space="preserve">│  │ BP    ___/___ │ │ Pulse   ____  │             │ BMI        25.6         │ │</w:t>
      </w:r>
      <w:r>
        <w:br/>
      </w:r>
      <w:r>
        <w:rPr>
          <w:rStyle w:val="VerbatimChar"/>
        </w:rPr>
        <w:t xml:space="preserve">│  ├───────────────┤ ├───────────────┤             │ (computed on save)      │ │</w:t>
      </w:r>
      <w:r>
        <w:br/>
      </w:r>
      <w:r>
        <w:rPr>
          <w:rStyle w:val="VerbatimChar"/>
        </w:rPr>
        <w:t xml:space="preserve">│  │ Temp    __.__ │ │ SpO₂     ___% │             ├─────────────────────────┤ │</w:t>
      </w:r>
      <w:r>
        <w:br/>
      </w:r>
      <w:r>
        <w:rPr>
          <w:rStyle w:val="VerbatimChar"/>
        </w:rPr>
        <w:t xml:space="preserve">│  ├───────────────┤ ├───────────────┤             │ ALERTS                  │ │</w:t>
      </w:r>
      <w:r>
        <w:br/>
      </w:r>
      <w:r>
        <w:rPr>
          <w:rStyle w:val="VerbatimChar"/>
        </w:rPr>
        <w:t xml:space="preserve">│  │ Resp     ____ │ │ Glucose __.__ │             │ • Elevated BP           │ │</w:t>
      </w:r>
      <w:r>
        <w:br/>
      </w:r>
      <w:r>
        <w:rPr>
          <w:rStyle w:val="VerbatimChar"/>
        </w:rPr>
        <w:t xml:space="preserve">│  ├───────────────┤ ├───────────────┤             │ • Low SpO₂              │ │</w:t>
      </w:r>
      <w:r>
        <w:br/>
      </w:r>
      <w:r>
        <w:rPr>
          <w:rStyle w:val="VerbatimChar"/>
        </w:rPr>
        <w:t xml:space="preserve">│  │ Weight  __.__ │ │ Height  ___._ │             │ (derived on the server) │ │</w:t>
      </w:r>
      <w:r>
        <w:br/>
      </w:r>
      <w:r>
        <w:rPr>
          <w:rStyle w:val="VerbatimChar"/>
        </w:rPr>
        <w:t xml:space="preserve">│  └───────────────┘ └───────────────┘            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ESI ACUITY   ( )1 Resus  ( )2 Emergency  (•)3 Urgent  ( )4 Less  ( )5 Non   │</w:t>
      </w:r>
      <w:r>
        <w:br/>
      </w:r>
      <w:r>
        <w:rPr>
          <w:rStyle w:val="VerbatimChar"/>
        </w:rPr>
        <w:t xml:space="preserve">│  Pain score   [0]──────●──────[10]                                           │</w:t>
      </w:r>
      <w:r>
        <w:br/>
      </w:r>
      <w:r>
        <w:rPr>
          <w:rStyle w:val="VerbatimChar"/>
        </w:rPr>
        <w:t xml:space="preserve">│  Nursing notes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     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[ Cancel ]  [ Save and route ▸ 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97"/>
    <w:bookmarkStart w:id="98" w:name="wireframe-public-landing-page"/>
    <w:p>
      <w:pPr>
        <w:pStyle w:val="Heading2"/>
      </w:pPr>
      <w:r>
        <w:t xml:space="preserve">10.5 Wireframe — Public Landing Page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⬢ HealthEasy-G    Why it exists  Platform  Team  Contact    ☾  [Staff sign in]│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── RIDGE REGIONAL HOSPITAL, ACCRA         ┌──────────────────────────────┐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                                   │ PATIENT FLOW          ● Live │  │</w:t>
      </w:r>
      <w:r>
        <w:br/>
      </w:r>
      <w:r>
        <w:rPr>
          <w:rStyle w:val="VerbatimChar"/>
        </w:rPr>
        <w:t xml:space="preserve">│  The whole hospital,                       ├──────────────────────────────┤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on one record.            (serif italic)  │ TRG-014  A. Serwaa  [IN TRIAGE] │</w:t>
      </w:r>
      <w:r>
        <w:br/>
      </w:r>
      <w:r>
        <w:rPr>
          <w:rStyle w:val="VerbatimChar"/>
        </w:rPr>
        <w:t xml:space="preserve">│                                            │ OPD-032  K. Ansah   [WITH DR]│  │</w:t>
      </w:r>
      <w:r>
        <w:br/>
      </w:r>
      <w:r>
        <w:rPr>
          <w:rStyle w:val="VerbatimChar"/>
        </w:rPr>
        <w:t xml:space="preserve">│  HealthEasy-G carries a patient from       │ LAB-009  A. Nyarko  [WAITING]│  │</w:t>
      </w:r>
      <w:r>
        <w:br/>
      </w:r>
      <w:r>
        <w:rPr>
          <w:rStyle w:val="VerbatimChar"/>
        </w:rPr>
        <w:t xml:space="preserve">│  the registration desk through triage…     ├──────────────────────────────┤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                                          │ Every movement is audited    │  │</w:t>
      </w:r>
      <w:r>
        <w:br/>
      </w:r>
      <w:r>
        <w:rPr>
          <w:rStyle w:val="VerbatimChar"/>
        </w:rPr>
        <w:t xml:space="preserve">│  [ Sign in to the portal → ] [ See more ]  └──────────────────────────────┘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ALIGNED TO                                                                  │</w:t>
      </w:r>
      <w:r>
        <w:br/>
      </w:r>
      <w:r>
        <w:rPr>
          <w:rStyle w:val="VerbatimChar"/>
        </w:rPr>
        <w:t xml:space="preserve">│  HeFRA · GHS · NHIA G-DRG · DHIMS2 · DPC          (hairline rule, no cards)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98"/>
    <w:bookmarkStart w:id="99" w:name="responsive-behaviour"/>
    <w:p>
      <w:pPr>
        <w:pStyle w:val="Heading2"/>
      </w:pPr>
      <w:r>
        <w:t xml:space="preserve">10.6 Responsive Behaviour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640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column; sidebar becomes a sheet; tables scroll horizontally within their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640–1024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Two-column cards; sidebar collapsible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1024–1280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Three-column cards; sidebar persistent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1280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grid with a secondary information column</w:t>
            </w:r>
          </w:p>
        </w:tc>
      </w:tr>
    </w:tbl>
    <w:bookmarkEnd w:id="99"/>
    <w:bookmarkStart w:id="100" w:name="accessibility"/>
    <w:p>
      <w:pPr>
        <w:pStyle w:val="Heading2"/>
      </w:pPr>
      <w:r>
        <w:t xml:space="preserve">10.7 Accessibility</w:t>
      </w:r>
    </w:p>
    <w:p>
      <w:pPr>
        <w:pStyle w:val="Compact"/>
        <w:numPr>
          <w:ilvl w:val="0"/>
          <w:numId w:val="1001"/>
        </w:numPr>
      </w:pPr>
      <w:r>
        <w:t xml:space="preserve">Semantic elements (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dl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) rather than generic containers.</w:t>
      </w:r>
    </w:p>
    <w:p>
      <w:pPr>
        <w:pStyle w:val="Compact"/>
        <w:numPr>
          <w:ilvl w:val="0"/>
          <w:numId w:val="1001"/>
        </w:numPr>
      </w:pPr>
      <w:r>
        <w:t xml:space="preserve">All interactive controls reachable and operable by keyboard.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aria-label</w:t>
      </w:r>
      <w:r>
        <w:t xml:space="preserve"> </w:t>
      </w:r>
      <w:r>
        <w:t xml:space="preserve">on icon-only controls;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on disclosure controls.</w:t>
      </w:r>
    </w:p>
    <w:p>
      <w:pPr>
        <w:pStyle w:val="Compact"/>
        <w:numPr>
          <w:ilvl w:val="0"/>
          <w:numId w:val="1001"/>
        </w:numPr>
      </w:pPr>
      <w:r>
        <w:t xml:space="preserve">Error regions marked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Text contrast meets WCAG AA in both themes.</w:t>
      </w:r>
    </w:p>
    <w:p>
      <w:pPr>
        <w:pStyle w:val="Compact"/>
        <w:numPr>
          <w:ilvl w:val="0"/>
          <w:numId w:val="1001"/>
        </w:numPr>
      </w:pPr>
      <w:r>
        <w:t xml:space="preserve">Motion suppressed under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X58682b88b44174fef671790919de86fb91bc288"/>
    <w:p>
      <w:pPr>
        <w:pStyle w:val="Heading1"/>
      </w:pPr>
      <w:r>
        <w:t xml:space="preserve">11. Design Rationale — Decisions Worth Defending</w:t>
      </w:r>
    </w:p>
    <w:p>
      <w:pPr>
        <w:pStyle w:val="FirstParagraph"/>
      </w:pPr>
      <w:r>
        <w:rPr>
          <w:b/>
          <w:bCs/>
        </w:rPr>
        <w:t xml:space="preserve">Why route access is derived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allowedRoutes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duplicated.</w:t>
      </w:r>
      <w:r>
        <w:t xml:space="preserve"> </w:t>
      </w:r>
      <w:r>
        <w:t xml:space="preserve">The role catalogue already declares which modules each role may open. The perimeter reads</w:t>
      </w:r>
      <w:r>
        <w:t xml:space="preserve"> </w:t>
      </w:r>
      <w:r>
        <w:t xml:space="preserve">that same declaration, so the navigation a user sees and the routes they may load cannot</w:t>
      </w:r>
      <w:r>
        <w:t xml:space="preserve"> </w:t>
      </w:r>
      <w:r>
        <w:t xml:space="preserve">disagree.</w:t>
      </w:r>
    </w:p>
    <w:p>
      <w:pPr>
        <w:pStyle w:val="BodyText"/>
      </w:pPr>
      <w:r>
        <w:rPr>
          <w:b/>
          <w:bCs/>
        </w:rPr>
        <w:t xml:space="preserve">Why the policy table uses role lists for reads and permissions for writes.</w:t>
      </w:r>
      <w:r>
        <w:t xml:space="preserve"> </w:t>
      </w:r>
      <w:r>
        <w:t xml:space="preserve">Reads define a data-protection boundary that a reviewer must be able to check at a glance —</w:t>
      </w:r>
      <w:r>
        <w:t xml:space="preserve"> </w:t>
      </w:r>
      <w:r>
        <w:t xml:space="preserve">an explicit list of roles is auditable. Writes correspond to professional authority, which</w:t>
      </w:r>
      <w:r>
        <w:t xml:space="preserve"> </w:t>
      </w:r>
      <w:r>
        <w:t xml:space="preserve">the permission catalogue already models.</w:t>
      </w:r>
    </w:p>
    <w:p>
      <w:pPr>
        <w:pStyle w:val="BodyText"/>
      </w:pPr>
      <w:r>
        <w:rPr>
          <w:b/>
          <w:bCs/>
        </w:rPr>
        <w:t xml:space="preserve">Why 403 becomes an empty collection in the client.</w:t>
      </w:r>
      <w:r>
        <w:t xml:space="preserve"> </w:t>
      </w:r>
      <w:r>
        <w:t xml:space="preserve">A cashier has no laboratory worklist. Treating that as an error would fill the interface with</w:t>
      </w:r>
      <w:r>
        <w:t xml:space="preserve"> </w:t>
      </w:r>
      <w:r>
        <w:t xml:space="preserve">alarming messages about normal conditions. Genuine failures still propagate.</w:t>
      </w:r>
    </w:p>
    <w:p>
      <w:pPr>
        <w:pStyle w:val="BodyText"/>
      </w:pPr>
      <w:r>
        <w:rPr>
          <w:b/>
          <w:bCs/>
        </w:rPr>
        <w:t xml:space="preserve">Why totals are recomputed on the server.</w:t>
      </w:r>
      <w:r>
        <w:t xml:space="preserve"> </w:t>
      </w:r>
      <w:r>
        <w:t xml:space="preserve">An invoice header that disagrees with its line items is a billing dispute. The client is a</w:t>
      </w:r>
      <w:r>
        <w:t xml:space="preserve"> </w:t>
      </w:r>
      <w:r>
        <w:t xml:space="preserve">convenience, not a source of truth.</w:t>
      </w:r>
    </w:p>
    <w:p>
      <w:pPr>
        <w:pStyle w:val="BodyText"/>
      </w:pPr>
      <w:r>
        <w:rPr>
          <w:b/>
          <w:bCs/>
        </w:rPr>
        <w:t xml:space="preserve">Why the audit trail takes identity from the session.</w:t>
      </w:r>
      <w:r>
        <w:t xml:space="preserve"> </w:t>
      </w:r>
      <w:r>
        <w:t xml:space="preserve">An audit trail that accepts an actor name from the request body records whatever the caller</w:t>
      </w:r>
      <w:r>
        <w:t xml:space="preserve"> </w:t>
      </w:r>
      <w:r>
        <w:t xml:space="preserve">claims. It would be evidence of nothing.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Design Documentation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Documentation</dc:title>
  <dc:creator>Group: Architects — CSCD602 Advance Software Development, University of Ghana</dc:creator>
  <dc:language>en-GB</dc:language>
  <cp:keywords/>
  <dcterms:created xsi:type="dcterms:W3CDTF">2026-08-14T12:04:09Z</dcterms:created>
  <dcterms:modified xsi:type="dcterms:W3CDTF">2026-08-14T12:04:09Z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HealthEasy-G Hospital Management System</vt:lpwstr>
  </property>
</Properties>
</file>