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Complete Project Documentation</w:t>
      </w:r>
    </w:p>
    <w:p>
      <w:pPr>
        <w:pStyle w:val="Subtitle"/>
      </w:pPr>
      <w:r>
        <w:t xml:space="preserve">HealthEasy-G Hospital Management System</w:t>
      </w:r>
    </w:p>
    <w:p>
      <w:pPr>
        <w:pStyle w:val="Author"/>
      </w:pPr>
      <w:r>
        <w:t xml:space="preserve">Group: Architects — CSCD602 Advance Software Development, University of Ghana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project-title-and-group-information"/>
    <w:p>
      <w:pPr>
        <w:pStyle w:val="Heading1"/>
      </w:pPr>
      <w:r>
        <w:t xml:space="preserve">1. Project Title and Group Information</w: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HealthEasy — HealthEasy-G Hospital Management System</w:t>
      </w:r>
    </w:p>
    <w:p>
      <w:pPr>
        <w:pStyle w:val="BodyText"/>
      </w:pPr>
      <w:r>
        <w:rPr>
          <w:b/>
          <w:bCs/>
        </w:rPr>
        <w:t xml:space="preserve">Group name:</w:t>
      </w:r>
      <w:r>
        <w:t xml:space="preserve"> </w:t>
      </w:r>
      <w:r>
        <w:t xml:space="preserve">Architects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CSCD602 Advance Software Development — Capstone Project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Computer Science</w:t>
      </w:r>
      <w:r>
        <w:t xml:space="preserve"> </w:t>
      </w:r>
      <w:r>
        <w:rPr>
          <w:b/>
          <w:bCs/>
        </w:rPr>
        <w:t xml:space="preserve">Institution:</w:t>
      </w:r>
      <w:r>
        <w:t xml:space="preserve"> </w:t>
      </w:r>
      <w:r>
        <w:t xml:space="preserve">University of Ghana</w:t>
      </w:r>
      <w:r>
        <w:t xml:space="preserve"> </w:t>
      </w:r>
      <w:r>
        <w:rPr>
          <w:b/>
          <w:bCs/>
        </w:rPr>
        <w:t xml:space="preserve">Session:</w:t>
      </w:r>
      <w:r>
        <w:t xml:space="preserve"> </w:t>
      </w:r>
      <w:r>
        <w:t xml:space="preserve">Semester 2, 2026</w:t>
      </w:r>
    </w:p>
    <w:p>
      <w:pPr>
        <w:pStyle w:val="BodyText"/>
      </w:pPr>
      <w:r>
        <w:rPr>
          <w:b/>
          <w:bCs/>
        </w:rPr>
        <w:t xml:space="preserve">Live application:</w:t>
      </w:r>
      <w:r>
        <w:t xml:space="preserve"> </w:t>
      </w:r>
      <w:hyperlink r:id="rId9">
        <w:r>
          <w:rPr>
            <w:rStyle w:val="Hyperlink"/>
          </w:rPr>
          <w:t xml:space="preserve">https://healtheasy-g.vercel.app</w:t>
        </w:r>
      </w:hyperlink>
      <w:r>
        <w:t xml:space="preserve"> </w:t>
      </w:r>
      <w:r>
        <w:rPr>
          <w:b/>
          <w:bCs/>
        </w:rPr>
        <w:t xml:space="preserve">Source code repository:</w:t>
      </w:r>
      <w:r>
        <w:t xml:space="preserve"> </w:t>
      </w:r>
      <w:hyperlink r:id="rId10">
        <w:r>
          <w:rPr>
            <w:rStyle w:val="Hyperlink"/>
          </w:rPr>
          <w:t xml:space="preserve">https://github.com/NketiaAsubontengErnest/HealthEasy-G</w:t>
        </w:r>
      </w:hyperlink>
      <w:r>
        <w:t xml:space="preserve"> </w:t>
      </w:r>
      <w:r>
        <w:rPr>
          <w:b/>
          <w:bCs/>
        </w:rPr>
        <w:t xml:space="preserve">Examiner credentials:</w:t>
      </w:r>
      <w:r>
        <w:t xml:space="preserve"> </w:t>
      </w:r>
      <w:r>
        <w:t xml:space="preserve">supplied in</w:t>
      </w:r>
      <w:r>
        <w:t xml:space="preserve"> </w:t>
      </w:r>
      <w:r>
        <w:rPr>
          <w:rStyle w:val="VerbatimChar"/>
        </w:rPr>
        <w:t xml:space="preserve">Links.txt</w:t>
      </w:r>
      <w:r>
        <w:t xml:space="preserve"> </w:t>
      </w:r>
      <w:r>
        <w:t xml:space="preserve">with this submission</w:t>
      </w:r>
    </w:p>
    <w:bookmarkStart w:id="11" w:name="group-members-and-contributions"/>
    <w:p>
      <w:pPr>
        <w:pStyle w:val="Heading2"/>
      </w:pPr>
      <w:r>
        <w:t xml:space="preserve">1.1 Group Members and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Ernest Nketia Asubonterng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22424715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System Architect &amp; AI Integrator.</w:t>
            </w:r>
            <w:r>
              <w:t xml:space="preserve"> </w:t>
            </w:r>
            <w:r>
              <w:t xml:space="preserve">Layered system architecture; server-side authentication and role-based access control; PostgreSQL schema, migrations and the Prisma data-access layer; the Ollama clinical decision-support assistant and its GSTG fallback; multi-facility management; automated test suite and continuous integration;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Nana Kwabena Asare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22424817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EMR consultation module and the ICD-10 diagnosis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Casper Kosi Asense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22425080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Patient Index, Ghana Card and NHIS validation, duplicate prevention.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Aubrey Owusu Amoah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22424666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 radiology ordering, reporting workflow and diagnostic worklists.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Nii Armah Okai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22425782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Pharmacy FEFO stock control and transactional prescription dispensing.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Abubakari Zubeiru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22425115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bed management, medication administration record, and DPC audit-log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 Tandoh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22425049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layouts, design system, theming and accessibility.</w:t>
            </w:r>
          </w:p>
        </w:tc>
      </w:tr>
    </w:tbl>
    <w:bookmarkEnd w:id="11"/>
    <w:bookmarkStart w:id="12" w:name="note-on-this-submission"/>
    <w:p>
      <w:pPr>
        <w:pStyle w:val="Heading2"/>
      </w:pPr>
      <w:r>
        <w:t xml:space="preserve">1.2 Note on This Submission</w:t>
      </w:r>
    </w:p>
    <w:p>
      <w:pPr>
        <w:pStyle w:val="FirstParagraph"/>
      </w:pPr>
      <w:r>
        <w:t xml:space="preserve">This document is submitted individually by</w:t>
      </w:r>
      <w:r>
        <w:t xml:space="preserve"> </w:t>
      </w:r>
      <w:r>
        <w:rPr>
          <w:b/>
          <w:bCs/>
        </w:rPr>
        <w:t xml:space="preserve">Ernest Nketia Asubonterng (22424715)</w:t>
      </w:r>
      <w:r>
        <w:t xml:space="preserve"> </w:t>
      </w:r>
      <w:r>
        <w:t xml:space="preserve">in</w:t>
      </w:r>
      <w:r>
        <w:t xml:space="preserve"> </w:t>
      </w:r>
      <w:r>
        <w:t xml:space="preserve">accordance with the individual submission requirement. The software is the group’s work; the</w:t>
      </w:r>
      <w:r>
        <w:t xml:space="preserve"> </w:t>
      </w:r>
      <w:r>
        <w:t xml:space="preserve">contribution recorded above for this student is the architecture, the security model, the</w:t>
      </w:r>
      <w:r>
        <w:t xml:space="preserve"> </w:t>
      </w:r>
      <w:r>
        <w:t xml:space="preserve">data layer, the clinical AI integration, the test suite and the deployment.</w:t>
      </w:r>
    </w:p>
    <w:bookmarkEnd w:id="12"/>
    <w:bookmarkStart w:id="13" w:name="companion-documents"/>
    <w:p>
      <w:pPr>
        <w:pStyle w:val="Heading2"/>
      </w:pPr>
      <w:r>
        <w:t xml:space="preserve">1.3 Companion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Design_Documentation.docx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and all design artefacts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Testing_Report.docx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strategy, executed evidence and defect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User_Manual.docx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Role-by-role operating instructions and administration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Maintenance_and_Evolution.docx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strategy and evolution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Examiner quick-reference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and verified access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introduction-and-background"/>
    <w:p>
      <w:pPr>
        <w:pStyle w:val="Heading1"/>
      </w:pPr>
      <w:r>
        <w:t xml:space="preserve">2. Introduction and Background</w:t>
      </w:r>
    </w:p>
    <w:bookmarkStart w:id="15" w:name="context"/>
    <w:p>
      <w:pPr>
        <w:pStyle w:val="Heading2"/>
      </w:pPr>
      <w:r>
        <w:t xml:space="preserve">2.1 Context</w:t>
      </w:r>
    </w:p>
    <w:p>
      <w:pPr>
        <w:pStyle w:val="FirstParagraph"/>
      </w:pPr>
      <w:r>
        <w:t xml:space="preserve">Healthcare delivery in Ghana is organised through the Ghana Health Service, regulated for</w:t>
      </w:r>
      <w:r>
        <w:t xml:space="preserve"> </w:t>
      </w:r>
      <w:r>
        <w:t xml:space="preserve">facility standards by the Health Facilities Regulatory Agency, financed in substantial part</w:t>
      </w:r>
      <w:r>
        <w:t xml:space="preserve"> </w:t>
      </w:r>
      <w:r>
        <w:t xml:space="preserve">through the National Health Insurance Scheme, and reported nationally through the District</w:t>
      </w:r>
      <w:r>
        <w:t xml:space="preserve"> </w:t>
      </w:r>
      <w:r>
        <w:t xml:space="preserve">Health Information Management System. A hospital therefore has obligations in four directions</w:t>
      </w:r>
      <w:r>
        <w:t xml:space="preserve"> </w:t>
      </w:r>
      <w:r>
        <w:t xml:space="preserve">at once: to its patients, to its regulator, to its payer, and to the national statistical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Most district and regional facilities meet these obligations on paper. Patient records are</w:t>
      </w:r>
      <w:r>
        <w:t xml:space="preserve"> </w:t>
      </w:r>
      <w:r>
        <w:t xml:space="preserve">folders in a registry. Laboratory requests are slips carried by hand. NHIS claims are</w:t>
      </w:r>
      <w:r>
        <w:t xml:space="preserve"> </w:t>
      </w:r>
      <w:r>
        <w:t xml:space="preserve">transcribed from folders onto claim forms. DHIMS2 returns are counted from attendance</w:t>
      </w:r>
      <w:r>
        <w:t xml:space="preserve"> </w:t>
      </w:r>
      <w:r>
        <w:t xml:space="preserve">registers at the end of the month.</w:t>
      </w:r>
    </w:p>
    <w:bookmarkEnd w:id="15"/>
    <w:bookmarkStart w:id="16" w:name="why-this-matters"/>
    <w:p>
      <w:pPr>
        <w:pStyle w:val="Heading2"/>
      </w:pPr>
      <w:r>
        <w:t xml:space="preserve">2.2 Why This Matters</w:t>
      </w:r>
    </w:p>
    <w:p>
      <w:pPr>
        <w:pStyle w:val="FirstParagraph"/>
      </w:pPr>
      <w:r>
        <w:t xml:space="preserve">Paper does not fail dramatically; it fails quietly and constantly. A folder that cannot be</w:t>
      </w:r>
      <w:r>
        <w:t xml:space="preserve"> </w:t>
      </w:r>
      <w:r>
        <w:t xml:space="preserve">found becomes a second folder. A result slip that goes astray becomes a repeated test. An</w:t>
      </w:r>
      <w:r>
        <w:t xml:space="preserve"> </w:t>
      </w:r>
      <w:r>
        <w:t xml:space="preserve">allergy recorded on the first visit is invisible on the third if the first folder is the one</w:t>
      </w:r>
      <w:r>
        <w:t xml:space="preserve"> </w:t>
      </w:r>
      <w:r>
        <w:t xml:space="preserve">that was mislaid. A claim transcribed by hand acquires a transcription error and is rejected,</w:t>
      </w:r>
      <w:r>
        <w:t xml:space="preserve"> </w:t>
      </w:r>
      <w:r>
        <w:t xml:space="preserve">and the facility absorbs the cost.</w:t>
      </w:r>
    </w:p>
    <w:p>
      <w:pPr>
        <w:pStyle w:val="BodyText"/>
      </w:pPr>
      <w:r>
        <w:t xml:space="preserve">Each of these is individually small. Collectively they consume clinical time, waste</w:t>
      </w:r>
      <w:r>
        <w:t xml:space="preserve"> </w:t>
      </w:r>
      <w:r>
        <w:t xml:space="preserve">consumables, delay treatment, and lose revenue the facility is entitled to.</w:t>
      </w:r>
    </w:p>
    <w:bookmarkEnd w:id="16"/>
    <w:bookmarkStart w:id="17" w:name="project-origin"/>
    <w:p>
      <w:pPr>
        <w:pStyle w:val="Heading2"/>
      </w:pPr>
      <w:r>
        <w:t xml:space="preserve">2.3 Project Origin</w:t>
      </w:r>
    </w:p>
    <w:p>
      <w:pPr>
        <w:pStyle w:val="FirstParagraph"/>
      </w:pPr>
      <w:r>
        <w:t xml:space="preserve">HealthEasy-G was undertaken as the CSCD602 capstone project by group Architects. The brief</w:t>
      </w:r>
      <w:r>
        <w:t xml:space="preserve"> </w:t>
      </w:r>
      <w:r>
        <w:t xml:space="preserve">required a complete, deployed, working system rather than a prototype — which shaped the</w:t>
      </w:r>
      <w:r>
        <w:t xml:space="preserve"> </w:t>
      </w:r>
      <w:r>
        <w:t xml:space="preserve">project decisively. A prototype can demonstrate a screen; a working system must decide what</w:t>
      </w:r>
      <w:r>
        <w:t xml:space="preserve"> </w:t>
      </w:r>
      <w:r>
        <w:t xml:space="preserve">happens when two clerks register the same patient at the same moment, when a pharmacist</w:t>
      </w:r>
      <w:r>
        <w:t xml:space="preserve"> </w:t>
      </w:r>
      <w:r>
        <w:t xml:space="preserve">dispenses from a batch another pharmacist has just emptied, and when a system administrator</w:t>
      </w:r>
      <w:r>
        <w:t xml:space="preserve"> </w:t>
      </w:r>
      <w:r>
        <w:t xml:space="preserve">opens a patient’s record.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roblem-statement"/>
    <w:p>
      <w:pPr>
        <w:pStyle w:val="Heading1"/>
      </w:pPr>
      <w:r>
        <w:t xml:space="preserve">3. Problem Statement</w:t>
      </w:r>
    </w:p>
    <w:p>
      <w:pPr>
        <w:pStyle w:val="FirstParagraph"/>
      </w:pPr>
      <w:r>
        <w:rPr>
          <w:b/>
          <w:bCs/>
        </w:rPr>
        <w:t xml:space="preserve">A patient’s record does not follow the patient.</w:t>
      </w:r>
    </w:p>
    <w:p>
      <w:pPr>
        <w:pStyle w:val="BodyText"/>
      </w:pPr>
      <w:r>
        <w:t xml:space="preserve">Each department in a Ghanaian hospital maintains its own account of a patient’s care, and the</w:t>
      </w:r>
      <w:r>
        <w:t xml:space="preserve"> </w:t>
      </w:r>
      <w:r>
        <w:t xml:space="preserve">accounts are joined only by paper carried between them or by the patient’s own memory. Four</w:t>
      </w:r>
      <w:r>
        <w:t xml:space="preserve"> </w:t>
      </w:r>
      <w:r>
        <w:t xml:space="preserve">consequences follow, and they are the problems this system addresses:</w:t>
      </w:r>
    </w:p>
    <w:p>
      <w:pPr>
        <w:pStyle w:val="BodyText"/>
      </w:pPr>
      <w:r>
        <w:rPr>
          <w:b/>
          <w:bCs/>
        </w:rPr>
        <w:t xml:space="preserve">3.1 One patient becomes several records.</w:t>
      </w:r>
      <w:r>
        <w:t xml:space="preserve"> </w:t>
      </w:r>
      <w:r>
        <w:t xml:space="preserve">With no reliable unique identifier enforced at</w:t>
      </w:r>
      <w:r>
        <w:t xml:space="preserve"> </w:t>
      </w:r>
      <w:r>
        <w:t xml:space="preserve">registration, a patient attending three times can accumulate three folders. Clinical history</w:t>
      </w:r>
      <w:r>
        <w:t xml:space="preserve"> </w:t>
      </w:r>
      <w:r>
        <w:t xml:space="preserve">fragments across them. An allergy recorded once is not seen again.</w:t>
      </w:r>
    </w:p>
    <w:p>
      <w:pPr>
        <w:pStyle w:val="BodyText"/>
      </w:pPr>
      <w:r>
        <w:rPr>
          <w:b/>
          <w:bCs/>
        </w:rPr>
        <w:t xml:space="preserve">3.2 Information is retyped at every hand-off.</w:t>
      </w:r>
      <w:r>
        <w:t xml:space="preserve"> </w:t>
      </w:r>
      <w:r>
        <w:t xml:space="preserve">The name written at registration is written</w:t>
      </w:r>
      <w:r>
        <w:t xml:space="preserve"> </w:t>
      </w:r>
      <w:r>
        <w:t xml:space="preserve">again on the triage sheet, again on the laboratory request, again on the prescription and</w:t>
      </w:r>
      <w:r>
        <w:t xml:space="preserve"> </w:t>
      </w:r>
      <w:r>
        <w:t xml:space="preserve">again on the claim form. Every transcription is an opportunity for error, and the errors are</w:t>
      </w:r>
      <w:r>
        <w:t xml:space="preserve"> </w:t>
      </w:r>
      <w:r>
        <w:t xml:space="preserve">detected — if at all — by the party that rejects the claim.</w:t>
      </w:r>
    </w:p>
    <w:p>
      <w:pPr>
        <w:pStyle w:val="BodyText"/>
      </w:pPr>
      <w:r>
        <w:rPr>
          <w:b/>
          <w:bCs/>
        </w:rPr>
        <w:t xml:space="preserve">3.3 Authority is a matter of custom, not enforcement.</w:t>
      </w:r>
      <w:r>
        <w:t xml:space="preserve"> </w:t>
      </w:r>
      <w:r>
        <w:t xml:space="preserve">Who may see a folder, who may</w:t>
      </w:r>
      <w:r>
        <w:t xml:space="preserve"> </w:t>
      </w:r>
      <w:r>
        <w:t xml:space="preserve">release a result, who may authorise a refund: these are conventions. A paper system cannot</w:t>
      </w:r>
      <w:r>
        <w:t xml:space="preserve"> </w:t>
      </w:r>
      <w:r>
        <w:t xml:space="preserve">enforce them, and a computer system that only hides menu items has not enforced them either.</w:t>
      </w:r>
    </w:p>
    <w:p>
      <w:pPr>
        <w:pStyle w:val="BodyText"/>
      </w:pPr>
      <w:r>
        <w:rPr>
          <w:b/>
          <w:bCs/>
        </w:rPr>
        <w:t xml:space="preserve">3.4 Statutory reporting is reconstructed rather than derived.</w:t>
      </w:r>
      <w:r>
        <w:t xml:space="preserve"> </w:t>
      </w:r>
      <w:r>
        <w:t xml:space="preserve">DHIMS2 returns and NHIS</w:t>
      </w:r>
      <w:r>
        <w:t xml:space="preserve"> </w:t>
      </w:r>
      <w:r>
        <w:t xml:space="preserve">claims are compiled at month end by counting registers. The figures are as accurate as the</w:t>
      </w:r>
      <w:r>
        <w:t xml:space="preserve"> </w:t>
      </w:r>
      <w:r>
        <w:t xml:space="preserve">counting, and they cannot be checked against anything.</w:t>
      </w:r>
    </w:p>
    <w:bookmarkStart w:id="19" w:name="statement"/>
    <w:p>
      <w:pPr>
        <w:pStyle w:val="Heading2"/>
      </w:pPr>
      <w:r>
        <w:t xml:space="preserve">3.5 Statement</w:t>
      </w:r>
    </w:p>
    <w:p>
      <w:pPr>
        <w:pStyle w:val="FirstParagraph"/>
      </w:pPr>
      <w:r>
        <w:rPr>
          <w:i/>
          <w:iCs/>
        </w:rPr>
        <w:t xml:space="preserve">Ghanaian health facilities lack an integrated system that maintains a single authoritative</w:t>
      </w:r>
      <w:r>
        <w:rPr>
          <w:i/>
          <w:iCs/>
        </w:rPr>
        <w:t xml:space="preserve"> </w:t>
      </w:r>
      <w:r>
        <w:rPr>
          <w:i/>
          <w:iCs/>
        </w:rPr>
        <w:t xml:space="preserve">record per patient across all departments, enforces professional authority at the point of</w:t>
      </w:r>
      <w:r>
        <w:rPr>
          <w:i/>
          <w:iCs/>
        </w:rPr>
        <w:t xml:space="preserve"> </w:t>
      </w:r>
      <w:r>
        <w:rPr>
          <w:i/>
          <w:iCs/>
        </w:rPr>
        <w:t xml:space="preserve">access rather than by convention, and derives statutory and insurance reporting from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activity rather than from manual recounting.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aim-and-objectives"/>
    <w:p>
      <w:pPr>
        <w:pStyle w:val="Heading1"/>
      </w:pPr>
      <w:r>
        <w:t xml:space="preserve">4. Aim and Objectives</w:t>
      </w:r>
    </w:p>
    <w:bookmarkStart w:id="21" w:name="aim"/>
    <w:p>
      <w:pPr>
        <w:pStyle w:val="Heading2"/>
      </w:pPr>
      <w:r>
        <w:t xml:space="preserve">4.1 Aim</w:t>
      </w:r>
    </w:p>
    <w:p>
      <w:pPr>
        <w:pStyle w:val="FirstParagraph"/>
      </w:pPr>
      <w:r>
        <w:t xml:space="preserve">To design, implement, test and deploy a working Hospital Management System that maintains one</w:t>
      </w:r>
      <w:r>
        <w:t xml:space="preserve"> </w:t>
      </w:r>
      <w:r>
        <w:t xml:space="preserve">authoritative record per patient across every department of a Ghanaian health facility, with</w:t>
      </w:r>
      <w:r>
        <w:t xml:space="preserve"> </w:t>
      </w:r>
      <w:r>
        <w:t xml:space="preserve">professional authority enforced by the system and statutory reporting derived from clinical</w:t>
      </w:r>
      <w:r>
        <w:t xml:space="preserve"> </w:t>
      </w:r>
      <w:r>
        <w:t xml:space="preserve">activity.</w:t>
      </w:r>
    </w:p>
    <w:bookmarkEnd w:id="21"/>
    <w:bookmarkStart w:id="22" w:name="objectives"/>
    <w:p>
      <w:pPr>
        <w:pStyle w:val="Heading2"/>
      </w:pPr>
      <w:r>
        <w:t xml:space="preserve">4.2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 Master Patient Index that prevents duplicate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Card uniqueness enforced at the database and rejected with an identifying message at the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TC-PAT-02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one record through every department without retyping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orders fan out automatically into laboratory, pharmacy, billing and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TC-INT-01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role-based authority on the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roles, 62 permissions, a fail-closed policy applied by</w:t>
            </w:r>
            <w:r>
              <w:t xml:space="preserve"> </w:t>
            </w:r>
            <w:r>
              <w:rPr>
                <w:rStyle w:val="VerbatimChar"/>
              </w:rPr>
              <w:t xml:space="preserve">withAuth</w:t>
            </w:r>
            <w:r>
              <w:t xml:space="preserve"> </w:t>
            </w:r>
            <w:r>
              <w:t xml:space="preserve">to all 24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 of the Testing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Satisfy Ghanaian regulatory requirements in the system’s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HeFRA licence tracking, NHIA G-DRG claim structure, DHIMS2 computation, DPC access restriction and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TC-RPT-01…05, TC-SEC-16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 that clinical and stock operations are 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dispensing with conditional stock decrement; transactional claim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TC-INT-02, TC-INT-03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clinical decision support that is safe when it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assistant restricted to stocked medicines, allergy conflicts re-derived locally, deterministic GSTG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TC-AI-02…04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 in facilities with unreliable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schema and seed on local or cloud PostgreSQL, selected by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datasource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a deployed system, not a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on Vercel with a managed database, publicly 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TC-SYS-01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engineering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automated tests, strict typing, CI on every push, versioned migrations, documented defect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stakeholder-analysis"/>
    <w:p>
      <w:pPr>
        <w:pStyle w:val="Heading1"/>
      </w:pPr>
      <w:r>
        <w:t xml:space="preserve">5. Stakeholder Analysis</w:t>
      </w:r>
    </w:p>
    <w:p>
      <w:pPr>
        <w:pStyle w:val="FirstParagraph"/>
      </w:pPr>
      <w:r>
        <w:rPr>
          <w:i/>
          <w:iCs/>
        </w:rPr>
        <w:t xml:space="preserve">Presented in full in the SRS, §3. Summarised here.</w:t>
      </w:r>
    </w:p>
    <w:bookmarkStart w:id="24" w:name="register"/>
    <w:p>
      <w:pPr>
        <w:pStyle w:val="Heading2"/>
      </w:pPr>
      <w:r>
        <w:t xml:space="preserve">5.1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records, shorter waits, correct 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primary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complete record, minimal 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Front-desk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primary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registration, duplicate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primary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worklist, traceable specimens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primary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stock, safe dispensing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Cashiers and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primary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charges, reconciled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primary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that pass NHIA vetting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decision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visibility,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complete, tamper-evident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Ghana Health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DHIMS2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Valid, well-formed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licensing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processing of health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4"/>
    <w:bookmarkStart w:id="25" w:name="how-stakeholders-shaped-the-system"/>
    <w:p>
      <w:pPr>
        <w:pStyle w:val="Heading2"/>
      </w:pPr>
      <w:r>
        <w:t xml:space="preserve">5.2 How Stakeholders Shaped the System</w:t>
      </w:r>
    </w:p>
    <w:p>
      <w:pPr>
        <w:pStyle w:val="FirstParagraph"/>
      </w:pPr>
      <w:r>
        <w:t xml:space="preserve">Regulator requirements were treated as</w:t>
      </w:r>
      <w:r>
        <w:t xml:space="preserve"> </w:t>
      </w:r>
      <w:r>
        <w:rPr>
          <w:b/>
          <w:bCs/>
        </w:rPr>
        <w:t xml:space="preserve">constraints</w:t>
      </w:r>
      <w:r>
        <w:t xml:space="preserve">, not features — the DPC access</w:t>
      </w:r>
      <w:r>
        <w:t xml:space="preserve"> </w:t>
      </w:r>
      <w:r>
        <w:t xml:space="preserve">restriction is enforced in code and cannot be configured away. Clinical staff shaped the</w:t>
      </w:r>
      <w:r>
        <w:t xml:space="preserve"> </w:t>
      </w:r>
      <w:r>
        <w:rPr>
          <w:b/>
          <w:bCs/>
        </w:rPr>
        <w:t xml:space="preserve">interaction design</w:t>
      </w:r>
      <w:r>
        <w:t xml:space="preserve">: screens are task-shaped rather than table-shaped, and the information</w:t>
      </w:r>
      <w:r>
        <w:t xml:space="preserve"> </w:t>
      </w:r>
      <w:r>
        <w:t xml:space="preserve">a clinician needs before writing (allergies, chronic conditions, last observations) is</w:t>
      </w:r>
      <w:r>
        <w:t xml:space="preserve"> </w:t>
      </w:r>
      <w:r>
        <w:t xml:space="preserve">presented before the writing area. Claims officers shaped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the audit flags</w:t>
      </w:r>
      <w:r>
        <w:t xml:space="preserve"> </w:t>
      </w:r>
      <w:r>
        <w:t xml:space="preserve">raised on a claim correspond to the reasons NHIA rejects claims.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requirements-gathering-and-analysis"/>
    <w:p>
      <w:pPr>
        <w:pStyle w:val="Heading1"/>
      </w:pPr>
      <w:r>
        <w:t xml:space="preserve">6. Requirements Gathering and Analysis</w:t>
      </w:r>
    </w:p>
    <w:p>
      <w:pPr>
        <w:pStyle w:val="FirstParagraph"/>
      </w:pPr>
      <w:r>
        <w:rPr>
          <w:i/>
          <w:iCs/>
        </w:rPr>
        <w:t xml:space="preserve">Presented in full in the SRS, §4.</w:t>
      </w:r>
    </w:p>
    <w:bookmarkStart w:id="27" w:name="techniques"/>
    <w:p>
      <w:pPr>
        <w:pStyle w:val="Heading2"/>
      </w:pPr>
      <w:r>
        <w:t xml:space="preserve">6.1 Techniques</w:t>
      </w:r>
    </w:p>
    <w:p>
      <w:pPr>
        <w:pStyle w:val="FirstParagraph"/>
      </w:pPr>
      <w:r>
        <w:t xml:space="preserve">As an academic capstone with no commissioning client, requirements were elicited from</w:t>
      </w:r>
      <w:r>
        <w:t xml:space="preserve"> </w:t>
      </w:r>
      <w:r>
        <w:t xml:space="preserve">documentary and observational sources: analysis of GHS operating procedures, NHIA claim</w:t>
      </w:r>
      <w:r>
        <w:t xml:space="preserve"> </w:t>
      </w:r>
      <w:r>
        <w:t xml:space="preserve">structure and rejection criteria, DHIMS2 return forms and the Data Protection Act; end-to-end</w:t>
      </w:r>
      <w:r>
        <w:t xml:space="preserve"> </w:t>
      </w:r>
      <w:r>
        <w:t xml:space="preserve">modelling of the outpatient journey; decomposition of the paper forms currently in use;</w:t>
      </w:r>
      <w:r>
        <w:t xml:space="preserve"> </w:t>
      </w:r>
      <w:r>
        <w:t xml:space="preserve">decomposition of hospital staffing into roles and their scope of practice; failure analysis of</w:t>
      </w:r>
      <w:r>
        <w:t xml:space="preserve"> </w:t>
      </w:r>
      <w:r>
        <w:t xml:space="preserve">known paper-system failure modes; and iterative prototyping.</w:t>
      </w:r>
    </w:p>
    <w:bookmarkEnd w:id="27"/>
    <w:bookmarkStart w:id="28" w:name="requirements-conflicts-resolved"/>
    <w:p>
      <w:pPr>
        <w:pStyle w:val="Heading2"/>
      </w:pPr>
      <w:r>
        <w:t xml:space="preserve">6.2 Requirements Conflicts Resolved</w:t>
      </w:r>
    </w:p>
    <w:p>
      <w:pPr>
        <w:pStyle w:val="FirstParagraph"/>
      </w:pPr>
      <w:r>
        <w:t xml:space="preserve">Four conflicts required explicit resolution rather than compromise: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Administrator capability versus data protection.</w:t>
      </w:r>
      <w:r>
        <w:t xml:space="preserve"> </w:t>
      </w:r>
      <w:r>
        <w:t xml:space="preserve">Resolved by barring the Super Admin</w:t>
      </w:r>
      <w:r>
        <w:t xml:space="preserve"> </w:t>
      </w:r>
      <w:r>
        <w:t xml:space="preserve">from clinical data at the server and providing aggregate statistics instead.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 speed versus duplicate prevention.</w:t>
      </w:r>
      <w:r>
        <w:t xml:space="preserve"> </w:t>
      </w:r>
      <w:r>
        <w:t xml:space="preserve">Resolved by enforcing Ghana Card</w:t>
      </w:r>
      <w:r>
        <w:t xml:space="preserve"> </w:t>
      </w:r>
      <w:r>
        <w:t xml:space="preserve">uniqueness absolutely while providing an emergency fast-track path for unidentified</w:t>
      </w:r>
      <w:r>
        <w:t xml:space="preserve"> </w:t>
      </w:r>
      <w:r>
        <w:t xml:space="preserve">patients.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result entry versus safe result release.</w:t>
      </w:r>
      <w:r>
        <w:t xml:space="preserve"> </w:t>
      </w:r>
      <w:r>
        <w:t xml:space="preserve">Resolved by separating recording from</w:t>
      </w:r>
      <w:r>
        <w:t xml:space="preserve"> </w:t>
      </w:r>
      <w:r>
        <w:t xml:space="preserve">verification into two permissions.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operation versus centralised data.</w:t>
      </w:r>
      <w:r>
        <w:t xml:space="preserve"> </w:t>
      </w:r>
      <w:r>
        <w:t xml:space="preserve">Resolved by supporting local and cloud</w:t>
      </w:r>
      <w:r>
        <w:t xml:space="preserve"> </w:t>
      </w:r>
      <w:r>
        <w:t xml:space="preserve">databases with an identical schema.</w:t>
      </w:r>
    </w:p>
    <w:bookmarkEnd w:id="28"/>
    <w:bookmarkStart w:id="29" w:name="prioritisation"/>
    <w:p>
      <w:pPr>
        <w:pStyle w:val="Heading2"/>
      </w:pPr>
      <w:r>
        <w:t xml:space="preserve">6.3 Prioritisation</w:t>
      </w:r>
    </w:p>
    <w:p>
      <w:pPr>
        <w:pStyle w:val="FirstParagraph"/>
      </w:pPr>
      <w:r>
        <w:t xml:space="preserve">MoSCoW. All 61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and 14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requirements are implemented; 3 of 9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requirements are implemented and the remainder appear in the roadmap.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oftware-requirements-specification"/>
    <w:p>
      <w:pPr>
        <w:pStyle w:val="Heading1"/>
      </w:pPr>
      <w:r>
        <w:t xml:space="preserve">7. Software Requirements Specification</w:t>
      </w:r>
    </w:p>
    <w:p>
      <w:pPr>
        <w:pStyle w:val="FirstParagraph"/>
      </w:pPr>
      <w:r>
        <w:rPr>
          <w:i/>
          <w:iCs/>
        </w:rPr>
        <w:t xml:space="preserve">The complete SRS is submitted as a separate document (</w:t>
      </w:r>
      <w:r>
        <w:rPr>
          <w:rStyle w:val="VerbatimChar"/>
          <w:i/>
          <w:iCs/>
        </w:rPr>
        <w:t xml:space="preserve">SRS.docx</w:t>
      </w:r>
      <w:r>
        <w:rPr>
          <w:i/>
          <w:iCs/>
        </w:rPr>
        <w:t xml:space="preserve">). Summarised here.</w:t>
      </w:r>
    </w:p>
    <w:bookmarkStart w:id="31" w:name="functional-requirements-summary"/>
    <w:p>
      <w:pPr>
        <w:pStyle w:val="Heading2"/>
      </w:pPr>
      <w:r>
        <w:t xml:space="preserve">7.1 Functional Requirements —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and session 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authentication, signed sessions, token rejection, enumeration resistance, throttling,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administration (PAT)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Registration, duplicate prevention, MRN allocation, NHIS capture, search, emergency fast-track, automatic queue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and flow (QUE)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Per-department tickets, derived waiting time, priority, state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 (TRI)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Observations, BMI, ESI acuity, derived alerts, session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EMR (EMR)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clinical note, ICD-10, history presentation, ordering, order fan-out, attribution, sick 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 (LAB)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catalogue, barcoding, status progression, verification authority, result parameters, catalogue-derived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Radiology (RAD)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capture, accession numbering, separation of performing from reporting, critical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Wards (WRD)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 register, states, double-assignment refusal, medication chart, mandatory omission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 (PHM)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stock, FEFO ordering, atomic dispensing, quantity and expiry refusal, controlled substances, counselling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(BIL)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Itemised invoices, server-recomputed totals, NHIS exemption, payment methods, overpayment refusal, refund authority, receipting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(CLM)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generation, record-sourced demographics, audit flags, computed totals, batching, atomic stamping,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(INV)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items, derived status, optional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(RPT)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DHIMS2 computation, manual figures, aggregate statistics, HeFRA and staff licence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(SEC)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server enforcement, fail-closed policy, DPC restriction, session attribution, audit trail, validation, credential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AI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Context-aware suggestion, stock restriction, allergy re-checking, deterministic fallback, source disclosure, advisory framing</w:t>
            </w:r>
          </w:p>
        </w:tc>
      </w:tr>
    </w:tbl>
    <w:bookmarkEnd w:id="31"/>
    <w:bookmarkStart w:id="32" w:name="non-functional-requirements-summary"/>
    <w:p>
      <w:pPr>
        <w:pStyle w:val="Heading2"/>
      </w:pPr>
      <w:r>
        <w:t xml:space="preserve">7.2 Non-Functional Requirements —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load ≤ 2 s; API read ≤ 800 ms; login ≤ 1.5 s; 50 concurrent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HTTPS;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/</w:t>
            </w:r>
            <w:r>
              <w:rPr>
                <w:rStyle w:val="VerbatimChar"/>
              </w:rPr>
              <w:t xml:space="preserve">SameSite</w:t>
            </w:r>
            <w:r>
              <w:t xml:space="preserve">/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cookies; HMAC-SHA256 with a ≥32-character secret; constant-time comparison; bcrypt ≥ 10 rounds; no credentials in version control; parameterised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availability in operating hours; offline operation; atomic multi-table operations; no silent write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clicks to any permitted module; 360–2560 px; actionable errors; explained denials; light default with dark option; reduced-motion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TypeScript; single-point policy, conversion and date handling; automated tests; CI; versioned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20+/PostgreSQL 14+; identical code for local and cloud; current and previous major browsers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843; NHIA G-DRG; DHIMS2; HeFRA; Ghana Standard Treatment Guidelines</w:t>
            </w:r>
          </w:p>
        </w:tc>
      </w:tr>
    </w:tbl>
    <w:bookmarkEnd w:id="32"/>
    <w:bookmarkStart w:id="33" w:name="constraints-and-assumptions"/>
    <w:p>
      <w:pPr>
        <w:pStyle w:val="Heading2"/>
      </w:pPr>
      <w:r>
        <w:t xml:space="preserve">7.3 Constraints and Assumptions</w:t>
      </w:r>
    </w:p>
    <w:p>
      <w:pPr>
        <w:pStyle w:val="FirstParagraph"/>
      </w:pPr>
      <w:r>
        <w:t xml:space="preserve">Ten constraints are recorded in the SRS, of which the most consequential are: live NHIA and</w:t>
      </w:r>
      <w:r>
        <w:t xml:space="preserve"> </w:t>
      </w:r>
      <w:r>
        <w:t xml:space="preserve">NIA verification requires an accredited integration agreement unavailable to a student project</w:t>
      </w:r>
      <w:r>
        <w:t xml:space="preserve"> </w:t>
      </w:r>
      <w:r>
        <w:t xml:space="preserve">(C-03); DICOM storage is beyond the available infrastructure (C-04); the clinical assistant</w:t>
      </w:r>
      <w:r>
        <w:t xml:space="preserve"> </w:t>
      </w:r>
      <w:r>
        <w:t xml:space="preserve">must not depend on a paid external API (C-05); and health data is subject to Act 843, making</w:t>
      </w:r>
      <w:r>
        <w:t xml:space="preserve"> </w:t>
      </w:r>
      <w:r>
        <w:t xml:space="preserve">server-enforced access control and an immutable audit trail mandatory rather than optional</w:t>
      </w:r>
      <w:r>
        <w:t xml:space="preserve"> </w:t>
      </w:r>
      <w:r>
        <w:t xml:space="preserve">(C-09).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ystem-analysis"/>
    <w:p>
      <w:pPr>
        <w:pStyle w:val="Heading1"/>
      </w:pPr>
      <w:r>
        <w:t xml:space="preserve">8. System Analysis</w:t>
      </w:r>
    </w:p>
    <w:bookmarkStart w:id="35" w:name="analysis-of-the-existing-process"/>
    <w:p>
      <w:pPr>
        <w:pStyle w:val="Heading2"/>
      </w:pPr>
      <w:r>
        <w:t xml:space="preserve">8.1 Analysis of the Existing Process</w:t>
      </w:r>
    </w:p>
    <w:p>
      <w:pPr>
        <w:pStyle w:val="FirstParagraph"/>
      </w:pPr>
      <w:r>
        <w:t xml:space="preserve">The outpatient journey was traced end to end and each hand-off examined for the information it</w:t>
      </w:r>
      <w:r>
        <w:t xml:space="preserve"> </w:t>
      </w:r>
      <w:r>
        <w:t xml:space="preserve">consumes and produces.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 in the paper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Patient, possibly a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retrieved or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not found → duplicate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 on a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separated from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Folder, triage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Notes, diagnosis,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history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 lost; result never reaches the clinician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Medicine, stock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ledger updated separately or not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Charges, possibly 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Payment,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Charges missed → revenue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Folder, at month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 error →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Registers, at month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DHIMS2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Miscount, unverifiable</w:t>
            </w:r>
          </w:p>
        </w:tc>
      </w:tr>
    </w:tbl>
    <w:p>
      <w:pPr>
        <w:pStyle w:val="BodyText"/>
      </w:pPr>
      <w:r>
        <w:t xml:space="preserve">The pattern is consistent:</w:t>
      </w:r>
      <w:r>
        <w:t xml:space="preserve"> </w:t>
      </w:r>
      <w:r>
        <w:rPr>
          <w:b/>
          <w:bCs/>
        </w:rPr>
        <w:t xml:space="preserve">information is lost at hand-offs</w:t>
      </w:r>
      <w:r>
        <w:t xml:space="preserve">, and every failure is a</w:t>
      </w:r>
      <w:r>
        <w:t xml:space="preserve"> </w:t>
      </w:r>
      <w:r>
        <w:t xml:space="preserve">failure of continuity rather than of any individual step.</w:t>
      </w:r>
    </w:p>
    <w:bookmarkEnd w:id="35"/>
    <w:bookmarkStart w:id="36" w:name="analysis-of-the-proposed-system"/>
    <w:p>
      <w:pPr>
        <w:pStyle w:val="Heading2"/>
      </w:pPr>
      <w:r>
        <w:t xml:space="preserve">8.2 Analysis of the Proposed System</w:t>
      </w:r>
    </w:p>
    <w:p>
      <w:pPr>
        <w:pStyle w:val="FirstParagraph"/>
      </w:pPr>
      <w:r>
        <w:t xml:space="preserve">The proposed system replaces the hand-off with a shared record. The analysis that follows from</w:t>
      </w:r>
      <w:r>
        <w:t xml:space="preserve"> </w:t>
      </w:r>
      <w:r>
        <w:t xml:space="preserve">this is that the critical design problems are not the screens but the</w:t>
      </w:r>
      <w:r>
        <w:t xml:space="preserve"> </w:t>
      </w:r>
      <w:r>
        <w:rPr>
          <w:b/>
          <w:bCs/>
        </w:rPr>
        <w:t xml:space="preserve">junctions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→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clerks registering the same person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uniqueness on Ghana Card; candidate-and-retry MRN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 → 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clinical action must produce work in three departments without partial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creation with individual failure reporting; the encounter is never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Dispensing →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Medicine handed out and stock reduced must be one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transaction with a conditional decrement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→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claim must not be submitted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creation and claim stamping in one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access →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do what must be decided somewhere that cannot be bypassed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policy applied to every request</w:t>
            </w:r>
          </w:p>
        </w:tc>
      </w:tr>
    </w:tbl>
    <w:bookmarkEnd w:id="36"/>
    <w:bookmarkStart w:id="37" w:name="feasibility"/>
    <w:p>
      <w:pPr>
        <w:pStyle w:val="Heading2"/>
      </w:pPr>
      <w:r>
        <w:t xml:space="preserve">8.3 Feasibility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Feasible. Next.js, PostgreSQL and Prisma are mature and well documented. The one genuinely uncertain element — clinical AI — was made optional by design, with a deterministic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 with reservations. The system assumes electricity, a local network and individual staff accounts. Offline database operation addresses connectivity but not power.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Feasible. The entire stack runs on free or low-cost tiers; the clinical assistant deliberately avoids a paid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Feasible. Act 843 obligations are addressed by design. Live national-system integration is not, and is scoped out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 within one semester for the scope defined; larger modules were consciously deferred to the roadmap rather than half-built.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system-design"/>
    <w:p>
      <w:pPr>
        <w:pStyle w:val="Heading1"/>
      </w:pPr>
      <w:r>
        <w:t xml:space="preserve">9. System Design</w:t>
      </w:r>
    </w:p>
    <w:p>
      <w:pPr>
        <w:pStyle w:val="FirstParagraph"/>
      </w:pPr>
      <w:r>
        <w:rPr>
          <w:i/>
          <w:iCs/>
        </w:rPr>
        <w:t xml:space="preserve">Presented in full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Design_Documentation.docx</w:t>
      </w:r>
      <w:r>
        <w:rPr>
          <w:i/>
          <w:iCs/>
        </w:rPr>
        <w:t xml:space="preserve">. Summarised here.</w:t>
      </w:r>
    </w:p>
    <w:bookmarkStart w:id="39" w:name="design-principles"/>
    <w:p>
      <w:pPr>
        <w:pStyle w:val="Heading2"/>
      </w:pPr>
      <w:r>
        <w:t xml:space="preserve">9.1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server is the only authority.</w:t>
      </w:r>
      <w:r>
        <w:t xml:space="preserve"> </w:t>
      </w:r>
      <w:r>
        <w:t xml:space="preserve">Anything the browser sends can be forged.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boundary per concern.</w:t>
      </w:r>
      <w:r>
        <w:t xml:space="preserve"> </w:t>
      </w:r>
      <w:r>
        <w:t xml:space="preserve">Policy, conversion and date handling each live in one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 closed.</w:t>
      </w:r>
      <w:r>
        <w:t xml:space="preserve"> </w:t>
      </w:r>
      <w:r>
        <w:t xml:space="preserve">An undeclared policy denies; an unknown enum falls back to the safest value.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Derive rather than store.</w:t>
      </w:r>
      <w:r>
        <w:t xml:space="preserve"> </w:t>
      </w:r>
      <w:r>
        <w:t xml:space="preserve">A stored status is a status that can drift from what it describes.</w:t>
      </w:r>
    </w:p>
    <w:bookmarkEnd w:id="39"/>
    <w:bookmarkStart w:id="40" w:name="design-artefacts-produced"/>
    <w:p>
      <w:pPr>
        <w:pStyle w:val="Heading2"/>
      </w:pPr>
      <w:r>
        <w:t xml:space="preserve">9.2 Design Artefacts Produced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Layered 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Documentation 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lifecycle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Use-case diagrams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§4.1, 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Use-case specifications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§4.3,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class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class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 diagrams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diagrams (2) and a state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Entity-relationship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Wireframes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§10.3–10.5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7" w:name="architecture"/>
    <w:p>
      <w:pPr>
        <w:pStyle w:val="Heading1"/>
      </w:pPr>
      <w:r>
        <w:t xml:space="preserve">10. Architecture</w:t>
      </w:r>
    </w:p>
    <w:bookmarkStart w:id="42" w:name="style"/>
    <w:p>
      <w:pPr>
        <w:pStyle w:val="Heading2"/>
      </w:pPr>
      <w:r>
        <w:t xml:space="preserve">10.1 Style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layered architecture within a serverless deployment</w:t>
      </w:r>
      <w:r>
        <w:t xml:space="preserve">. Next.js App Router provides the</w:t>
      </w:r>
      <w:r>
        <w:t xml:space="preserve"> </w:t>
      </w:r>
      <w:r>
        <w:t xml:space="preserve">presentation and application layers in one deployable unit; Prisma provides data access over</w:t>
      </w:r>
      <w:r>
        <w:t xml:space="preserve"> </w:t>
      </w:r>
      <w:r>
        <w:t xml:space="preserve">PostgreSQL.</w:t>
      </w:r>
    </w:p>
    <w:bookmarkEnd w:id="42"/>
    <w:bookmarkStart w:id="43" w:name="why-not-microservices"/>
    <w:p>
      <w:pPr>
        <w:pStyle w:val="Heading2"/>
      </w:pPr>
      <w:r>
        <w:t xml:space="preserve">10.2 Why Not Microservices</w:t>
      </w:r>
    </w:p>
    <w:p>
      <w:pPr>
        <w:pStyle w:val="FirstParagraph"/>
      </w:pPr>
      <w:r>
        <w:t xml:space="preserve">The domain is a single bounded context with heavily interconnected data. Splitting patient,</w:t>
      </w:r>
      <w:r>
        <w:t xml:space="preserve"> </w:t>
      </w:r>
      <w:r>
        <w:t xml:space="preserve">clinical, pharmacy and billing into separate services would introduce distributed transactions</w:t>
      </w:r>
      <w:r>
        <w:t xml:space="preserve"> </w:t>
      </w:r>
      <w:r>
        <w:t xml:space="preserve">across boundaries that must be atomic — dispensing with stock deduction, batching with claim</w:t>
      </w:r>
      <w:r>
        <w:t xml:space="preserve"> </w:t>
      </w:r>
      <w:r>
        <w:t xml:space="preserve">stamping — in exchange for scaling flexibility this workload does not require. Service</w:t>
      </w:r>
      <w:r>
        <w:t xml:space="preserve"> </w:t>
      </w:r>
      <w:r>
        <w:t xml:space="preserve">extraction is placed last in the scalability path for exactly this reason.</w:t>
      </w:r>
    </w:p>
    <w:bookmarkEnd w:id="43"/>
    <w:bookmarkStart w:id="44" w:name="layers"/>
    <w:p>
      <w:pPr>
        <w:pStyle w:val="Heading2"/>
      </w:pPr>
      <w:r>
        <w:t xml:space="preserve">10.3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pages,</w:t>
            </w:r>
            <w:r>
              <w:t xml:space="preserve"> </w:t>
            </w:r>
            <w:r>
              <w:rPr>
                <w:rStyle w:val="VerbatimChar"/>
              </w:rPr>
              <w:t xml:space="preserve">HMSContext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state, collect input, explain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perimeter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api-guard.ts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api-policy.ts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identity; permit or 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route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invariants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resolve-datasource.ts</w:t>
            </w:r>
            <w:r>
              <w:t xml:space="preserve">,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and retrieve</w:t>
            </w:r>
          </w:p>
        </w:tc>
      </w:tr>
    </w:tbl>
    <w:bookmarkEnd w:id="44"/>
    <w:bookmarkStart w:id="45" w:name="security-architecture"/>
    <w:p>
      <w:pPr>
        <w:pStyle w:val="Heading2"/>
      </w:pPr>
      <w:r>
        <w:t xml:space="preserve">10.4 Security Architecture</w:t>
      </w:r>
    </w:p>
    <w:p>
      <w:pPr>
        <w:pStyle w:val="FirstParagraph"/>
      </w:pPr>
      <w:r>
        <w:t xml:space="preserve">Four layers, each of which must pass before a request does any work: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proxy.ts</w:t>
      </w:r>
      <w:r>
        <w:t xml:space="preserve"> </w:t>
      </w:r>
      <w:r>
        <w:t xml:space="preserve">verifies the signed session at the edge and enforces each role’s permitted</w:t>
      </w:r>
      <w:r>
        <w:t xml:space="preserve"> </w:t>
      </w:r>
      <w:r>
        <w:t xml:space="preserve">routes. Unauthenticated API requests receive 401; page requests are redirected.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withAuth</w:t>
      </w:r>
      <w:r>
        <w:t xml:space="preserve"> </w:t>
      </w:r>
      <w:r>
        <w:t xml:space="preserve">consults the policy table for the specific method and path. An undeclared</w:t>
      </w:r>
      <w:r>
        <w:t xml:space="preserve"> </w:t>
      </w:r>
      <w:r>
        <w:t xml:space="preserve">combination is denied.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route handler</w:t>
      </w:r>
      <w:r>
        <w:t xml:space="preserve"> </w:t>
      </w:r>
      <w:r>
        <w:t xml:space="preserve">performs its own domain-specific authority checks where the action</w:t>
      </w:r>
      <w:r>
        <w:t xml:space="preserve"> </w:t>
      </w:r>
      <w:r>
        <w:t xml:space="preserve">requires more than endpoint access — releasing a laboratory result, issuing a radiology</w:t>
      </w:r>
      <w:r>
        <w:t xml:space="preserve"> </w:t>
      </w:r>
      <w:r>
        <w:t xml:space="preserve">interpretation, reducing a settled payment.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database</w:t>
      </w:r>
      <w:r>
        <w:t xml:space="preserve"> </w:t>
      </w:r>
      <w:r>
        <w:t xml:space="preserve">enforces the final invariants: uniqueness, referential integrity and enum</w:t>
      </w:r>
      <w:r>
        <w:t xml:space="preserve"> </w:t>
      </w:r>
      <w:r>
        <w:t xml:space="preserve">validity.</w:t>
      </w:r>
    </w:p>
    <w:bookmarkEnd w:id="45"/>
    <w:bookmarkStart w:id="46" w:name="technology-choices"/>
    <w:p>
      <w:pPr>
        <w:pStyle w:val="Heading2"/>
      </w:pPr>
      <w:r>
        <w:t xml:space="preserve">10.5 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App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deployable; server components keep data access off the client; native middleware for a perimeter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Compile-time detection of shape mismatch — the defect class that most damaged the early codebase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types; parameterised queries; versioned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integrity, transactions, native dates and enums, JSON where structure genuinely 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via Web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Stateless, verifiable at the edge, identical code in both runtimes, no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(10 rounds)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 slowness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with rule-engine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paid API; works offline; the fallback is deterministic and auditable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built-in runner + 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additional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+ 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Next.js support; managed PostgreSQL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database-and-data-design"/>
    <w:p>
      <w:pPr>
        <w:pStyle w:val="Heading1"/>
      </w:pPr>
      <w:r>
        <w:t xml:space="preserve">11. Database and Data Design</w:t>
      </w:r>
    </w:p>
    <w:bookmarkStart w:id="48" w:name="model"/>
    <w:p>
      <w:pPr>
        <w:pStyle w:val="Heading2"/>
      </w:pPr>
      <w:r>
        <w:t xml:space="preserve">11.1 Model</w:t>
      </w:r>
    </w:p>
    <w:p>
      <w:pPr>
        <w:pStyle w:val="FirstParagraph"/>
      </w:pPr>
      <w:r>
        <w:t xml:space="preserve">Nineteen Prisma models over PostgreSQL.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UserStaff</w:t>
      </w:r>
      <w:r>
        <w:t xml:space="preserve"> </w:t>
      </w:r>
      <w:r>
        <w:t xml:space="preserve">are the two hubs: nearly</w:t>
      </w:r>
      <w:r>
        <w:t xml:space="preserve"> </w:t>
      </w:r>
      <w:r>
        <w:t xml:space="preserve">every clinical record references a patient, and nearly every action references the staff member</w:t>
      </w:r>
      <w:r>
        <w:t xml:space="preserve"> </w:t>
      </w:r>
      <w:r>
        <w:t xml:space="preserve">who performed it.</w:t>
      </w:r>
    </w:p>
    <w:bookmarkEnd w:id="48"/>
    <w:bookmarkStart w:id="49" w:name="design-decisions"/>
    <w:p>
      <w:pPr>
        <w:pStyle w:val="Heading2"/>
      </w:pPr>
      <w:r>
        <w:t xml:space="preserve">11.2 Design Decisions</w:t>
      </w:r>
    </w:p>
    <w:p>
      <w:pPr>
        <w:pStyle w:val="FirstParagraph"/>
      </w:pPr>
      <w:r>
        <w:rPr>
          <w:b/>
          <w:bCs/>
        </w:rPr>
        <w:t xml:space="preserve">Uniqueness as the integrity mechanism.</w:t>
      </w:r>
      <w:r>
        <w:t xml:space="preserve"> </w:t>
      </w:r>
      <w:r>
        <w:rPr>
          <w:rStyle w:val="VerbatimChar"/>
        </w:rPr>
        <w:t xml:space="preserve">ghanaCardNo</w:t>
      </w:r>
      <w:r>
        <w:t xml:space="preserve">,</w:t>
      </w:r>
      <w:r>
        <w:t xml:space="preserve"> </w:t>
      </w:r>
      <w:r>
        <w:rPr>
          <w:rStyle w:val="VerbatimChar"/>
        </w:rPr>
        <w:t xml:space="preserve">mrn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barcodeNo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pacsAccessionNo</w:t>
      </w:r>
      <w:r>
        <w:t xml:space="preserve"> </w:t>
      </w:r>
      <w:r>
        <w:t xml:space="preserve">carry unique</w:t>
      </w:r>
      <w:r>
        <w:t xml:space="preserve"> </w:t>
      </w:r>
      <w:r>
        <w:t xml:space="preserve">constraints. Document numbers are allocated by generating a candidate and letting the unique</w:t>
      </w:r>
      <w:r>
        <w:t xml:space="preserve"> </w:t>
      </w:r>
      <w:r>
        <w:t xml:space="preserve">index settle collisions, with retry — because</w:t>
      </w:r>
      <w:r>
        <w:t xml:space="preserve"> </w:t>
      </w:r>
      <w:r>
        <w:rPr>
          <w:rStyle w:val="VerbatimChar"/>
        </w:rPr>
        <w:t xml:space="preserve">count() + 1</w:t>
      </w:r>
      <w:r>
        <w:t xml:space="preserve"> </w:t>
      </w:r>
      <w:r>
        <w:t xml:space="preserve">produces duplicates under</w:t>
      </w:r>
      <w:r>
        <w:t xml:space="preserve"> </w:t>
      </w:r>
      <w:r>
        <w:t xml:space="preserve">concurrency and reuses numbers after deletion (defect D-07).</w:t>
      </w:r>
    </w:p>
    <w:p>
      <w:pPr>
        <w:pStyle w:val="BodyText"/>
      </w:pPr>
      <w:r>
        <w:rPr>
          <w:b/>
          <w:bCs/>
        </w:rPr>
        <w:t xml:space="preserve">Native date and time types.</w:t>
      </w:r>
      <w:r>
        <w:t xml:space="preserve"> </w:t>
      </w:r>
      <w:r>
        <w:t xml:space="preserve">Sixteen columns across nine tables are PostgreSQL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 They were initially text, which made every comparison lexical —</w:t>
      </w:r>
      <w:r>
        <w:t xml:space="preserve"> </w:t>
      </w:r>
      <w:r>
        <w:rPr>
          <w:rStyle w:val="VerbatimChar"/>
        </w:rPr>
        <w:t xml:space="preserve">'2026-9-1'</w:t>
      </w:r>
      <w:r>
        <w:t xml:space="preserve"> </w:t>
      </w:r>
      <w:r>
        <w:t xml:space="preserve">sorts after</w:t>
      </w:r>
      <w:r>
        <w:t xml:space="preserve"> </w:t>
      </w:r>
      <w:r>
        <w:rPr>
          <w:rStyle w:val="VerbatimChar"/>
        </w:rPr>
        <w:t xml:space="preserve">'2026-10-01'</w:t>
      </w:r>
      <w:r>
        <w:t xml:space="preserve"> </w:t>
      </w:r>
      <w:r>
        <w:t xml:space="preserve">— so expiry checks and month filters silently returned wrong rows</w:t>
      </w:r>
      <w:r>
        <w:t xml:space="preserve"> </w:t>
      </w:r>
      <w:r>
        <w:t xml:space="preserve">(defect D-05). Migration</w:t>
      </w:r>
      <w:r>
        <w:t xml:space="preserve"> </w:t>
      </w:r>
      <w:r>
        <w:rPr>
          <w:rStyle w:val="VerbatimChar"/>
        </w:rPr>
        <w:t xml:space="preserve">20260814000000_dates_and_session_security</w:t>
      </w:r>
      <w:r>
        <w:t xml:space="preserve"> </w:t>
      </w:r>
      <w:r>
        <w:t xml:space="preserve">converts existing rows in</w:t>
      </w:r>
      <w:r>
        <w:t xml:space="preserve"> </w:t>
      </w:r>
      <w:r>
        <w:t xml:space="preserve">place with explicit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casts rather than dropping columns.</w:t>
      </w:r>
    </w:p>
    <w:p>
      <w:pPr>
        <w:pStyle w:val="BodyText"/>
      </w:pPr>
      <w:r>
        <w:rPr>
          <w:b/>
          <w:bCs/>
        </w:rPr>
        <w:t xml:space="preserve">Enumerations in the database.</w:t>
      </w:r>
      <w:r>
        <w:t xml:space="preserve"> </w:t>
      </w:r>
      <w:r>
        <w:t xml:space="preserve">Seven enums, so an invalid value cannot be stored at all.</w:t>
      </w:r>
    </w:p>
    <w:p>
      <w:pPr>
        <w:pStyle w:val="BodyText"/>
      </w:pPr>
      <w:r>
        <w:rPr>
          <w:b/>
          <w:bCs/>
        </w:rPr>
        <w:t xml:space="preserve">JSON where structure genuinely varies.</w:t>
      </w:r>
      <w:r>
        <w:t xml:space="preserve"> </w:t>
      </w:r>
      <w:r>
        <w:rPr>
          <w:rStyle w:val="VerbatimChar"/>
        </w:rPr>
        <w:t xml:space="preserve">icdDiagnoses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lineItems</w:t>
      </w:r>
      <w:r>
        <w:t xml:space="preserve"> </w:t>
      </w:r>
      <w:r>
        <w:t xml:space="preserve">are lists whose length and shape vary per record and which are always read whole. Normalising</w:t>
      </w:r>
      <w:r>
        <w:t xml:space="preserve"> </w:t>
      </w:r>
      <w:r>
        <w:t xml:space="preserve">them would add four tables and four joins for no query benefit.</w:t>
      </w:r>
    </w:p>
    <w:p>
      <w:pPr>
        <w:pStyle w:val="BodyText"/>
      </w:pPr>
      <w:r>
        <w:rPr>
          <w:b/>
          <w:bCs/>
        </w:rPr>
        <w:t xml:space="preserve">Cascade on patient deletion, but not for audit.</w:t>
      </w:r>
      <w:r>
        <w:t xml:space="preserve"> </w:t>
      </w:r>
      <w:r>
        <w:t xml:space="preserve">Clinical children cascade; audit entries do</w:t>
      </w:r>
      <w:r>
        <w:t xml:space="preserve"> </w:t>
      </w:r>
      <w:r>
        <w:t xml:space="preserve">not. The trail must outlive the record it describes.</w:t>
      </w:r>
    </w:p>
    <w:p>
      <w:pPr>
        <w:pStyle w:val="BodyText"/>
      </w:pPr>
      <w:r>
        <w:rPr>
          <w:b/>
          <w:bCs/>
        </w:rPr>
        <w:t xml:space="preserve">Derived, not stored.</w:t>
      </w:r>
      <w:r>
        <w:t xml:space="preserve"> </w:t>
      </w:r>
      <w:r>
        <w:t xml:space="preserve">Stock status, waiting minutes, licence expiry status and DHIMS2</w:t>
      </w:r>
      <w:r>
        <w:t xml:space="preserve"> </w:t>
      </w:r>
      <w:r>
        <w:t xml:space="preserve">attendance are computed at read time.</w:t>
      </w:r>
    </w:p>
    <w:bookmarkEnd w:id="49"/>
    <w:bookmarkStart w:id="50" w:name="migration-strategy"/>
    <w:p>
      <w:pPr>
        <w:pStyle w:val="Heading2"/>
      </w:pPr>
      <w:r>
        <w:t xml:space="preserve">11.3 Migration Strategy</w:t>
      </w:r>
    </w:p>
    <w:p>
      <w:pPr>
        <w:pStyle w:val="FirstParagraph"/>
      </w:pPr>
      <w:r>
        <w:t xml:space="preserve">Schema changes are versioned SQL under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, applied in order, never edited</w:t>
      </w:r>
      <w:r>
        <w:t xml:space="preserve"> </w:t>
      </w:r>
      <w:r>
        <w:t xml:space="preserve">once released, and written to convert data in place.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user-interface-design"/>
    <w:p>
      <w:pPr>
        <w:pStyle w:val="Heading1"/>
      </w:pPr>
      <w:r>
        <w:t xml:space="preserve">12. User-Interface Design</w:t>
      </w:r>
    </w:p>
    <w:bookmarkStart w:id="52" w:name="design-language"/>
    <w:p>
      <w:pPr>
        <w:pStyle w:val="Heading2"/>
      </w:pPr>
      <w:r>
        <w:t xml:space="preserve">12.1 Design Language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Light, with a persisted dark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site 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Newsreader (serif display) with Manrope (sans 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Manrope, optimised for dense tabular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clinical green</w:t>
            </w:r>
            <w:r>
              <w:t xml:space="preserve"> </w:t>
            </w:r>
            <w:r>
              <w:rPr>
                <w:rStyle w:val="VerbatimChar"/>
              </w:rPr>
              <w:t xml:space="preserve">#0d6b4e</w:t>
            </w:r>
            <w:r>
              <w:t xml:space="preserve">, used as a single accent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colours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waiting, green in-progress or complete, rose critical, stone 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navigation, sticky header, 12-column responsive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on worklists, low on data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reveals on the public site only, suppressed under reduced-motion</w:t>
            </w:r>
          </w:p>
        </w:tc>
      </w:tr>
    </w:tbl>
    <w:bookmarkEnd w:id="52"/>
    <w:bookmarkStart w:id="53" w:name="interaction-principles"/>
    <w:p>
      <w:pPr>
        <w:pStyle w:val="Heading2"/>
      </w:pPr>
      <w:r>
        <w:t xml:space="preserve">12.2 Interaction Principles</w:t>
      </w:r>
    </w:p>
    <w:p>
      <w:pPr>
        <w:pStyle w:val="FirstParagraph"/>
      </w:pPr>
      <w:r>
        <w:rPr>
          <w:b/>
          <w:bCs/>
        </w:rPr>
        <w:t xml:space="preserve">Show the role’s work, not the system’s capabilities.</w:t>
      </w:r>
      <w:r>
        <w:t xml:space="preserve"> </w:t>
      </w:r>
      <w:r>
        <w:t xml:space="preserve">The sidebar lists only permitted</w:t>
      </w:r>
      <w:r>
        <w:t xml:space="preserve"> </w:t>
      </w:r>
      <w:r>
        <w:t xml:space="preserve">modules.</w:t>
      </w:r>
    </w:p>
    <w:p>
      <w:pPr>
        <w:pStyle w:val="BodyText"/>
      </w:pPr>
      <w:r>
        <w:rPr>
          <w:b/>
          <w:bCs/>
        </w:rPr>
        <w:t xml:space="preserve">Present what is needed before the field that needs it.</w:t>
      </w:r>
      <w:r>
        <w:t xml:space="preserve"> </w:t>
      </w:r>
      <w:r>
        <w:t xml:space="preserve">Allergies and chronic conditions</w:t>
      </w:r>
      <w:r>
        <w:t xml:space="preserve"> </w:t>
      </w:r>
      <w:r>
        <w:t xml:space="preserve">appear above the prescribing area, not on a separate tab.</w:t>
      </w:r>
    </w:p>
    <w:p>
      <w:pPr>
        <w:pStyle w:val="BodyText"/>
      </w:pPr>
      <w:r>
        <w:rPr>
          <w:b/>
          <w:bCs/>
        </w:rPr>
        <w:t xml:space="preserve">Explain refusals.</w:t>
      </w:r>
      <w:r>
        <w:t xml:space="preserve"> </w:t>
      </w:r>
      <w:r>
        <w:t xml:space="preserve">A denial names the active role, the missing authority and the constraint</w:t>
      </w:r>
      <w:r>
        <w:t xml:space="preserve"> </w:t>
      </w:r>
      <w:r>
        <w:t xml:space="preserve">being enforced.</w:t>
      </w:r>
    </w:p>
    <w:p>
      <w:pPr>
        <w:pStyle w:val="BodyText"/>
      </w:pPr>
      <w:r>
        <w:rPr>
          <w:b/>
          <w:bCs/>
        </w:rPr>
        <w:t xml:space="preserve">Never fail silently.</w:t>
      </w:r>
      <w:r>
        <w:t xml:space="preserve"> </w:t>
      </w:r>
      <w:r>
        <w:t xml:space="preserve">Every rejected write raises a dismissible alert stating the action and</w:t>
      </w:r>
      <w:r>
        <w:t xml:space="preserve"> </w:t>
      </w:r>
      <w:r>
        <w:t xml:space="preserve">the reason.</w:t>
      </w:r>
    </w:p>
    <w:bookmarkEnd w:id="53"/>
    <w:bookmarkStart w:id="54" w:name="responsiveness-and-accessibility"/>
    <w:p>
      <w:pPr>
        <w:pStyle w:val="Heading2"/>
      </w:pPr>
      <w:r>
        <w:t xml:space="preserve">12.3 Responsiveness and Accessibility</w:t>
      </w:r>
    </w:p>
    <w:p>
      <w:pPr>
        <w:pStyle w:val="FirstParagraph"/>
      </w:pPr>
      <w:r>
        <w:t xml:space="preserve">Layouts adapt across 360–2560 px; wide tables scroll within their own container so the page</w:t>
      </w:r>
      <w:r>
        <w:t xml:space="preserve"> </w:t>
      </w:r>
      <w:r>
        <w:t xml:space="preserve">body never scrolls horizontally. Semantic elements, keyboard operability,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on</w:t>
      </w:r>
      <w:r>
        <w:t xml:space="preserve"> </w:t>
      </w:r>
      <w:r>
        <w:t xml:space="preserve">icon-only controls,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on error regions, WCAG AA contrast in both themes, and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support.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mplementation"/>
    <w:p>
      <w:pPr>
        <w:pStyle w:val="Heading1"/>
      </w:pPr>
      <w:r>
        <w:t xml:space="preserve">13. Implementation</w:t>
      </w:r>
    </w:p>
    <w:bookmarkStart w:id="56" w:name="scale"/>
    <w:p>
      <w:pPr>
        <w:pStyle w:val="Heading2"/>
      </w:pPr>
      <w:r>
        <w:t xml:space="preserve">13.1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/ TSX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22,232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route handlers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</w:tbl>
    <w:bookmarkEnd w:id="56"/>
    <w:bookmarkStart w:id="57" w:name="implementation-of-key-mechanisms"/>
    <w:p>
      <w:pPr>
        <w:pStyle w:val="Heading2"/>
      </w:pPr>
      <w:r>
        <w:t xml:space="preserve">13.2 Implementation of Key Mechanisms</w:t>
      </w:r>
    </w:p>
    <w:p>
      <w:pPr>
        <w:pStyle w:val="FirstParagraph"/>
      </w:pPr>
      <w:r>
        <w:rPr>
          <w:b/>
          <w:bCs/>
        </w:rPr>
        <w:t xml:space="preserve">Authentication.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looks the account up, compares with bcrypt, refuses</w:t>
      </w:r>
      <w:r>
        <w:t xml:space="preserve"> </w:t>
      </w:r>
      <w:r>
        <w:t xml:space="preserve">non-Active accounts, records the attempt in the audit trail either way, and issues an</w:t>
      </w:r>
      <w:r>
        <w:t xml:space="preserve"> </w:t>
      </w:r>
      <w:r>
        <w:t xml:space="preserve">HMAC-SHA256 signed token in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cookie. Unknown addresses and wrong passwords</w:t>
      </w:r>
      <w:r>
        <w:t xml:space="preserve"> </w:t>
      </w:r>
      <w:r>
        <w:t xml:space="preserve">receive an identical response.</w:t>
      </w:r>
    </w:p>
    <w:p>
      <w:pPr>
        <w:pStyle w:val="BodyText"/>
      </w:pPr>
      <w:r>
        <w:rPr>
          <w:b/>
          <w:bCs/>
        </w:rPr>
        <w:t xml:space="preserve">Authorisation.</w:t>
      </w:r>
      <w:r>
        <w:t xml:space="preserve"> </w:t>
      </w:r>
      <w:r>
        <w:rPr>
          <w:rStyle w:val="VerbatimChar"/>
        </w:rPr>
        <w:t xml:space="preserve">API_POLICY</w:t>
      </w:r>
      <w:r>
        <w:t xml:space="preserve"> </w:t>
      </w:r>
      <w:r>
        <w:t xml:space="preserve">declares, for each path and method, either</w:t>
      </w:r>
      <w:r>
        <w:t xml:space="preserve"> </w:t>
      </w:r>
      <w:r>
        <w:t xml:space="preserve">“any authenticated</w:t>
      </w:r>
      <w:r>
        <w:t xml:space="preserve"> </w:t>
      </w:r>
      <w:r>
        <w:t xml:space="preserve">session”</w:t>
      </w:r>
      <w:r>
        <w:t xml:space="preserve">,</w:t>
      </w:r>
      <w:r>
        <w:t xml:space="preserve"> </w:t>
      </w:r>
      <w:r>
        <w:t xml:space="preserve">“one of these roles”</w:t>
      </w:r>
      <w:r>
        <w:t xml:space="preserve">, or</w:t>
      </w:r>
      <w:r>
        <w:t xml:space="preserve"> </w:t>
      </w:r>
      <w:r>
        <w:t xml:space="preserve">“one of these permissions”</w:t>
      </w:r>
      <w:r>
        <w:t xml:space="preserve">.</w:t>
      </w:r>
      <w:r>
        <w:t xml:space="preserve"> </w:t>
      </w:r>
      <w:r>
        <w:rPr>
          <w:rStyle w:val="VerbatimChar"/>
        </w:rPr>
        <w:t xml:space="preserve">withAuth</w:t>
      </w:r>
      <w:r>
        <w:t xml:space="preserve"> </w:t>
      </w:r>
      <w:r>
        <w:t xml:space="preserve">consults it before</w:t>
      </w:r>
      <w:r>
        <w:t xml:space="preserve"> </w:t>
      </w:r>
      <w:r>
        <w:t xml:space="preserve">the handler runs and denies anything undeclared. Reads use role lists because a data-protection</w:t>
      </w:r>
      <w:r>
        <w:t xml:space="preserve"> </w:t>
      </w:r>
      <w:r>
        <w:t xml:space="preserve">boundary must be auditable at a glance; writes use permissions because they correspond to</w:t>
      </w:r>
      <w:r>
        <w:t xml:space="preserve"> </w:t>
      </w:r>
      <w:r>
        <w:t xml:space="preserve">professional authority.</w:t>
      </w:r>
    </w:p>
    <w:p>
      <w:pPr>
        <w:pStyle w:val="BodyText"/>
      </w:pPr>
      <w:r>
        <w:rPr>
          <w:b/>
          <w:bCs/>
        </w:rPr>
        <w:t xml:space="preserve">Identity attribution.</w:t>
      </w:r>
      <w:r>
        <w:t xml:space="preserve"> </w:t>
      </w:r>
      <w:r>
        <w:t xml:space="preserve">Every write takes the acting identity from the verified session.</w:t>
      </w:r>
      <w:r>
        <w:t xml:space="preserve"> </w:t>
      </w:r>
      <w:r>
        <w:t xml:space="preserve">There is no code path by which a request body can name the author of a record.</w:t>
      </w:r>
    </w:p>
    <w:p>
      <w:pPr>
        <w:pStyle w:val="BodyText"/>
      </w:pPr>
      <w:r>
        <w:rPr>
          <w:b/>
          <w:bCs/>
        </w:rPr>
        <w:t xml:space="preserve">Atomicity.</w:t>
      </w:r>
      <w:r>
        <w:t xml:space="preserve"> </w:t>
      </w:r>
      <w:r>
        <w:t xml:space="preserve">Dispensing opens a transaction, verifies existence, sufficiency and expiry,</w:t>
      </w:r>
      <w:r>
        <w:t xml:space="preserve"> </w:t>
      </w:r>
      <w:r>
        <w:t xml:space="preserve">writes the dispense record, then decrements conditionally (</w:t>
      </w:r>
      <w:r>
        <w:rPr>
          <w:rStyle w:val="VerbatimChar"/>
        </w:rPr>
        <w:t xml:space="preserve">WHERE quantityInStock &gt;= n</w:t>
      </w:r>
      <w:r>
        <w:t xml:space="preserve">). If a</w:t>
      </w:r>
      <w:r>
        <w:t xml:space="preserve"> </w:t>
      </w:r>
      <w:r>
        <w:t xml:space="preserve">concurrent dispense drained the batch, the update matches nothing and the transaction rolls</w:t>
      </w:r>
      <w:r>
        <w:t xml:space="preserve"> </w:t>
      </w:r>
      <w:r>
        <w:t xml:space="preserve">back rather than driving stock negative.</w:t>
      </w:r>
    </w:p>
    <w:p>
      <w:pPr>
        <w:pStyle w:val="BodyText"/>
      </w:pPr>
      <w:r>
        <w:rPr>
          <w:b/>
          <w:bCs/>
        </w:rPr>
        <w:t xml:space="preserve">Shape translation.</w:t>
      </w:r>
      <w:r>
        <w:t xml:space="preserve"> </w:t>
      </w:r>
      <w:r>
        <w:rPr>
          <w:rStyle w:val="VerbatimChar"/>
        </w:rPr>
        <w:t xml:space="preserve">adapters.ts</w:t>
      </w:r>
      <w:r>
        <w:t xml:space="preserve"> </w:t>
      </w:r>
      <w:r>
        <w:t xml:space="preserve">converts Prisma rows to client records at the API</w:t>
      </w:r>
      <w:r>
        <w:t xml:space="preserve"> </w:t>
      </w:r>
      <w:r>
        <w:t xml:space="preserve">boundary.</w:t>
      </w:r>
      <w:r>
        <w:t xml:space="preserve"> </w:t>
      </w:r>
      <w:r>
        <w:rPr>
          <w:rStyle w:val="VerbatimChar"/>
        </w:rPr>
        <w:t xml:space="preserve">IN_CONSULTATION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In Consultation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bedType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;</w:t>
      </w:r>
      <w:r>
        <w:t xml:space="preserve"> </w:t>
      </w:r>
      <w:r>
        <w:rPr>
          <w:rStyle w:val="VerbatimChar"/>
        </w:rPr>
        <w:t xml:space="preserve">totalClaimGhc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totalClaimAmountGhc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handling.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carries the HTTP status and the server’s reason. A 403 on a</w:t>
      </w:r>
      <w:r>
        <w:t xml:space="preserve"> </w:t>
      </w:r>
      <w:r>
        <w:t xml:space="preserve">collection read is treated as an empty collection — a cashier legitimately has no laboratory</w:t>
      </w:r>
      <w:r>
        <w:t xml:space="preserve"> </w:t>
      </w:r>
      <w:r>
        <w:t xml:space="preserve">worklist — while every other failure surfaces to the user.</w:t>
      </w:r>
    </w:p>
    <w:p>
      <w:pPr>
        <w:pStyle w:val="BodyText"/>
      </w:pPr>
      <w:r>
        <w:rPr>
          <w:b/>
          <w:bCs/>
        </w:rPr>
        <w:t xml:space="preserve">Clinical decision support.</w:t>
      </w:r>
      <w:r>
        <w:t xml:space="preserve"> </w:t>
      </w:r>
      <w:r>
        <w:t xml:space="preserve">The assistant is given the patient’s diagnoses, observations,</w:t>
      </w:r>
      <w:r>
        <w:t xml:space="preserve"> </w:t>
      </w:r>
      <w:r>
        <w:t xml:space="preserve">allergies, chronic conditions, results, history and live stock. Its output is filtered against</w:t>
      </w:r>
      <w:r>
        <w:t xml:space="preserve"> </w:t>
      </w:r>
      <w:r>
        <w:t xml:space="preserve">stock so a hallucinated medicine cannot reach a prescribing screen, allergy conflicts are</w:t>
      </w:r>
      <w:r>
        <w:t xml:space="preserve"> </w:t>
      </w:r>
      <w:r>
        <w:t xml:space="preserve">re-derived locally, and a timeout triggers the GSTG rule engine. The response states which</w:t>
      </w:r>
      <w:r>
        <w:t xml:space="preserve"> </w:t>
      </w:r>
      <w:r>
        <w:t xml:space="preserve">produced it.</w:t>
      </w:r>
    </w:p>
    <w:bookmarkEnd w:id="57"/>
    <w:bookmarkStart w:id="58" w:name="code-organisation"/>
    <w:p>
      <w:pPr>
        <w:pStyle w:val="Heading2"/>
      </w:pPr>
      <w:r>
        <w:t xml:space="preserve">13.3 Code Organisation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(DashboardLayout)/   33 pages, grouped by module</w:t>
      </w:r>
      <w:r>
        <w:br/>
      </w:r>
      <w:r>
        <w:rPr>
          <w:rStyle w:val="VerbatimChar"/>
        </w:rPr>
        <w:t xml:space="preserve">    api/                 24 route handlers</w:t>
      </w:r>
      <w:r>
        <w:br/>
      </w:r>
      <w:r>
        <w:rPr>
          <w:rStyle w:val="VerbatimChar"/>
        </w:rPr>
        <w:t xml:space="preserve">    components/          shared and public-site components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session.ts           token signing and verification</w:t>
      </w:r>
      <w:r>
        <w:br/>
      </w:r>
      <w:r>
        <w:rPr>
          <w:rStyle w:val="VerbatimChar"/>
        </w:rPr>
        <w:t xml:space="preserve">    api-guard.ts         withAuth</w:t>
      </w:r>
      <w:r>
        <w:br/>
      </w:r>
      <w:r>
        <w:rPr>
          <w:rStyle w:val="VerbatimChar"/>
        </w:rPr>
        <w:t xml:space="preserve">    api-policy.ts        access declarations</w:t>
      </w:r>
      <w:r>
        <w:br/>
      </w:r>
      <w:r>
        <w:rPr>
          <w:rStyle w:val="VerbatimChar"/>
        </w:rPr>
        <w:t xml:space="preserve">    api-client.ts        typed browser HTTP</w:t>
      </w:r>
      <w:r>
        <w:br/>
      </w:r>
      <w:r>
        <w:rPr>
          <w:rStyle w:val="VerbatimChar"/>
        </w:rPr>
        <w:t xml:space="preserve">    adapters.ts          storage ↔ presentation conversion</w:t>
      </w:r>
      <w:r>
        <w:br/>
      </w:r>
      <w:r>
        <w:rPr>
          <w:rStyle w:val="VerbatimChar"/>
        </w:rPr>
        <w:t xml:space="preserve">    validation.ts        input rules</w:t>
      </w:r>
      <w:r>
        <w:br/>
      </w:r>
      <w:r>
        <w:rPr>
          <w:rStyle w:val="VerbatimChar"/>
        </w:rPr>
        <w:t xml:space="preserve">    sequence.ts          document numbering</w:t>
      </w:r>
      <w:r>
        <w:br/>
      </w:r>
      <w:r>
        <w:rPr>
          <w:rStyle w:val="VerbatimChar"/>
        </w:rPr>
        <w:t xml:space="preserve">    rate-limit.ts        sign-in throttling</w:t>
      </w:r>
      <w:r>
        <w:br/>
      </w:r>
      <w:r>
        <w:rPr>
          <w:rStyle w:val="VerbatimChar"/>
        </w:rPr>
        <w:t xml:space="preserve">    types/               domain and RBAC types</w:t>
      </w:r>
      <w:r>
        <w:br/>
      </w:r>
      <w:r>
        <w:rPr>
          <w:rStyle w:val="VerbatimChar"/>
        </w:rPr>
        <w:t xml:space="preserve">  proxy.ts               security perimeter</w:t>
      </w:r>
      <w:r>
        <w:br/>
      </w:r>
      <w:r>
        <w:rPr>
          <w:rStyle w:val="VerbatimChar"/>
        </w:rPr>
        <w:t xml:space="preserve">prisma/</w:t>
      </w:r>
      <w:r>
        <w:br/>
      </w:r>
      <w:r>
        <w:rPr>
          <w:rStyle w:val="VerbatimChar"/>
        </w:rPr>
        <w:t xml:space="preserve">  schema.prisma          19 models</w:t>
      </w:r>
      <w:r>
        <w:br/>
      </w:r>
      <w:r>
        <w:rPr>
          <w:rStyle w:val="VerbatimChar"/>
        </w:rPr>
        <w:t xml:space="preserve">  migrations/            versioned SQL</w:t>
      </w:r>
      <w:r>
        <w:br/>
      </w:r>
      <w:r>
        <w:rPr>
          <w:rStyle w:val="VerbatimChar"/>
        </w:rPr>
        <w:t xml:space="preserve">  seed.ts                complete seed</w:t>
      </w:r>
      <w:r>
        <w:br/>
      </w:r>
      <w:r>
        <w:rPr>
          <w:rStyle w:val="VerbatimChar"/>
        </w:rPr>
        <w:t xml:space="preserve">tests/                   53 automated tests</w:t>
      </w:r>
      <w:r>
        <w:br/>
      </w:r>
      <w:r>
        <w:rPr>
          <w:rStyle w:val="VerbatimChar"/>
        </w:rPr>
        <w:t xml:space="preserve">scripts/                 database and documentation tooling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testing-and-quality-assurance"/>
    <w:p>
      <w:pPr>
        <w:pStyle w:val="Heading1"/>
      </w:pPr>
      <w:r>
        <w:t xml:space="preserve">14. Testing and Quality Assurance</w:t>
      </w:r>
    </w:p>
    <w:p>
      <w:pPr>
        <w:pStyle w:val="FirstParagraph"/>
      </w:pPr>
      <w:r>
        <w:rPr>
          <w:i/>
          <w:iCs/>
        </w:rPr>
        <w:t xml:space="preserve">Presented in full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Testing_Report.docx</w:t>
      </w:r>
      <w:r>
        <w:rPr>
          <w:i/>
          <w:iCs/>
        </w:rPr>
        <w:t xml:space="preserve">. Summarised here.</w:t>
      </w:r>
    </w:p>
    <w:bookmarkStart w:id="60" w:name="results"/>
    <w:p>
      <w:pPr>
        <w:pStyle w:val="Heading2"/>
      </w:pPr>
      <w:r>
        <w:t xml:space="preserve">14.1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automated tests,</w:t>
            </w:r>
            <w:r>
              <w:t xml:space="preserve"> </w:t>
            </w:r>
            <w:r>
              <w:rPr>
                <w:rStyle w:val="VerbatimChar"/>
              </w:rPr>
              <w:t xml:space="preserve">node:test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  <w:r>
              <w:t xml:space="preserve">, 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errors across 22,232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handler with live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against the deployed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forgery, access matrix, injection,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i/>
                <w:iCs/>
              </w:rPr>
              <w:t xml:space="preserve">Must</w:t>
            </w:r>
            <w:r>
              <w:t xml:space="preserve"> </w:t>
            </w: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 and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the deployed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endpoints marginal (D-09)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</w:tbl>
    <w:bookmarkEnd w:id="60"/>
    <w:bookmarkStart w:id="61" w:name="the-access-control-evidence"/>
    <w:p>
      <w:pPr>
        <w:pStyle w:val="Heading2"/>
      </w:pPr>
      <w:r>
        <w:t xml:space="preserve">14.2 The Access-Control Evidence</w:t>
      </w:r>
    </w:p>
    <w:p>
      <w:pPr>
        <w:pStyle w:val="FirstParagraph"/>
      </w:pPr>
      <w:r>
        <w:t xml:space="preserve">The central claim of the system — that authority is enforced by the server — is demonstrated</w:t>
      </w:r>
      <w:r>
        <w:t xml:space="preserve"> </w:t>
      </w:r>
      <w:r>
        <w:t xml:space="preserve">by a matrix of 15 endpoints against 6 roles, executed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against the live deployment.</w:t>
      </w:r>
      <w:r>
        <w:t xml:space="preserve"> </w:t>
      </w:r>
      <w:r>
        <w:t xml:space="preserve">It shows the Super Admin receiving 403 on every identifiable clinical collection while</w:t>
      </w:r>
      <w:r>
        <w:t xml:space="preserve"> </w:t>
      </w:r>
      <w:r>
        <w:t xml:space="preserve">retaining access to aggregate statistics and the audit trail; the Cashier reaching billing and</w:t>
      </w:r>
      <w:r>
        <w:t xml:space="preserve"> </w:t>
      </w:r>
      <w:r>
        <w:t xml:space="preserve">claims but no clinical data; and the Laboratory Technician reaching diagnostics but neither</w:t>
      </w:r>
      <w:r>
        <w:t xml:space="preserve"> </w:t>
      </w:r>
      <w:r>
        <w:t xml:space="preserve">clinical notes nor finance.</w:t>
      </w:r>
    </w:p>
    <w:bookmarkEnd w:id="61"/>
    <w:bookmarkStart w:id="62" w:name="defects"/>
    <w:p>
      <w:pPr>
        <w:pStyle w:val="Heading2"/>
      </w:pPr>
      <w:r>
        <w:t xml:space="preserve">14.3 Defects</w:t>
      </w:r>
    </w:p>
    <w:p>
      <w:pPr>
        <w:pStyle w:val="FirstParagraph"/>
      </w:pPr>
      <w:r>
        <w:t xml:space="preserve">Seventeen defects were identified: 3 Critical, 6 High, 6 Medium, 2 Low. Sixteen are closed.</w:t>
      </w:r>
      <w:r>
        <w:t xml:space="preserve"> </w:t>
      </w:r>
      <w:r>
        <w:t xml:space="preserve">The one open defect is a measured performance shortfall on two endpoints with a diagnosed</w:t>
      </w:r>
      <w:r>
        <w:t xml:space="preserve"> </w:t>
      </w:r>
      <w:r>
        <w:t xml:space="preserve">cause and a scheduled remedy.</w:t>
      </w:r>
    </w:p>
    <w:p>
      <w:pPr>
        <w:pStyle w:val="BodyText"/>
      </w:pPr>
      <w:r>
        <w:t xml:space="preserve">The most instructive was</w:t>
      </w:r>
      <w:r>
        <w:t xml:space="preserve"> </w:t>
      </w:r>
      <w:r>
        <w:rPr>
          <w:b/>
          <w:bCs/>
        </w:rPr>
        <w:t xml:space="preserve">D-06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VERIFY_LAB_RESULTS</w:t>
      </w:r>
      <w:r>
        <w:t xml:space="preserve"> </w:t>
      </w:r>
      <w:r>
        <w:t xml:space="preserve">existed in the permission catalogue but</w:t>
      </w:r>
      <w:r>
        <w:t xml:space="preserve"> </w:t>
      </w:r>
      <w:r>
        <w:t xml:space="preserve">was granted to no role, so no user in the system could release a laboratory result. It was</w:t>
      </w:r>
      <w:r>
        <w:t xml:space="preserve"> </w:t>
      </w:r>
      <w:r>
        <w:t xml:space="preserve">found by an automated test asserting a property of the policy itself — that every permission</w:t>
      </w:r>
      <w:r>
        <w:t xml:space="preserve"> </w:t>
      </w:r>
      <w:r>
        <w:t xml:space="preserve">referenced is held by somebody — rather than by any behavioural test.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deployment"/>
    <w:p>
      <w:pPr>
        <w:pStyle w:val="Heading1"/>
      </w:pPr>
      <w:r>
        <w:t xml:space="preserve">15. Deployment</w:t>
      </w:r>
    </w:p>
    <w:bookmarkStart w:id="64" w:name="deployed-system"/>
    <w:p>
      <w:pPr>
        <w:pStyle w:val="Heading2"/>
      </w:pPr>
      <w:r>
        <w:t xml:space="preserve">15.1 Deployed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application</w:t>
            </w:r>
          </w:p>
        </w:tc>
        <w:tc>
          <w:tcPr/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</w:rPr>
                <w:t xml:space="preserve">https://healtheasy-g.vercel.app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portal; the interface adapts to the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(Edge middleware + Node.js serverless functions)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serverless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https://github.com/NketiaAsubontengErnest/HealthEasy-G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Links.txt</w:t>
            </w:r>
            <w:r>
              <w:t xml:space="preserve">, supplied with this submission</w:t>
            </w:r>
          </w:p>
        </w:tc>
      </w:tr>
    </w:tbl>
    <w:bookmarkEnd w:id="64"/>
    <w:bookmarkStart w:id="65" w:name="pipeline"/>
    <w:p>
      <w:pPr>
        <w:pStyle w:val="Heading2"/>
      </w:pPr>
      <w:r>
        <w:t xml:space="preserve">15.2 Pipeline</w:t>
      </w:r>
    </w:p>
    <w:p>
      <w:pPr>
        <w:pStyle w:val="SourceCode"/>
      </w:pPr>
      <w:r>
        <w:rPr>
          <w:rStyle w:val="VerbatimChar"/>
        </w:rPr>
        <w:t xml:space="preserve">git push → GitHub → CI (typecheck, test, build against PostgreSQL)</w:t>
      </w:r>
      <w:r>
        <w:br/>
      </w:r>
      <w:r>
        <w:rPr>
          <w:rStyle w:val="VerbatimChar"/>
        </w:rPr>
        <w:t xml:space="preserve">                  → Vercel build (prisma generate &amp;&amp; next build)</w:t>
      </w:r>
      <w:r>
        <w:br/>
      </w:r>
      <w:r>
        <w:rPr>
          <w:rStyle w:val="VerbatimChar"/>
        </w:rPr>
        <w:t xml:space="preserve">                  → Deployment</w:t>
      </w:r>
    </w:p>
    <w:bookmarkEnd w:id="65"/>
    <w:bookmarkStart w:id="66" w:name="configuration"/>
    <w:p>
      <w:pPr>
        <w:pStyle w:val="Heading2"/>
      </w:pPr>
      <w:r>
        <w:t xml:space="preserve">15.3 Configuration</w:t>
      </w:r>
    </w:p>
    <w:p>
      <w:pPr>
        <w:pStyle w:val="FirstParagraph"/>
      </w:pPr>
      <w:r>
        <w:t xml:space="preserve">Runtime configuration is by environment variable:</w:t>
      </w:r>
      <w:r>
        <w:t xml:space="preserve"> </w:t>
      </w:r>
      <w:r>
        <w:rPr>
          <w:rStyle w:val="VerbatimChar"/>
        </w:rPr>
        <w:t xml:space="preserve">DATABASE_TARGET</w:t>
      </w:r>
      <w:r>
        <w:t xml:space="preserve"> </w:t>
      </w:r>
      <w:r>
        <w:t xml:space="preserve">selecting local or cloud,</w:t>
      </w:r>
      <w:r>
        <w:t xml:space="preserve"> </w:t>
      </w:r>
      <w:r>
        <w:t xml:space="preserve">the two connection strings,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, session lifetime, and optional Ollama settings.</w:t>
      </w:r>
      <w:r>
        <w:t xml:space="preserve"> </w:t>
      </w:r>
      <w:r>
        <w:t xml:space="preserve">The application refuses to sign sessions in production with a secret shorter than 32</w:t>
      </w:r>
      <w:r>
        <w:t xml:space="preserve"> </w:t>
      </w:r>
      <w:r>
        <w:t xml:space="preserve">characters.</w:t>
      </w:r>
    </w:p>
    <w:bookmarkEnd w:id="66"/>
    <w:bookmarkStart w:id="67" w:name="credential-handling"/>
    <w:p>
      <w:pPr>
        <w:pStyle w:val="Heading2"/>
      </w:pPr>
      <w:r>
        <w:t xml:space="preserve">15.4 Credential Handling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has never been committed — verified by</w:t>
      </w:r>
      <w:r>
        <w:t xml:space="preserve"> </w:t>
      </w:r>
      <w:r>
        <w:rPr>
          <w:rStyle w:val="VerbatimChar"/>
        </w:rPr>
        <w:t xml:space="preserve">git log --all -- .env</w:t>
      </w:r>
      <w:r>
        <w:t xml:space="preserve">. Examiner credentials</w:t>
      </w:r>
      <w:r>
        <w:t xml:space="preserve"> </w:t>
      </w:r>
      <w:r>
        <w:t xml:space="preserve">are supplied only in</w:t>
      </w:r>
      <w:r>
        <w:t xml:space="preserve"> </w:t>
      </w:r>
      <w:r>
        <w:rPr>
          <w:rStyle w:val="VerbatimChar"/>
        </w:rPr>
        <w:t xml:space="preserve">Links.txt</w:t>
      </w:r>
      <w:r>
        <w:t xml:space="preserve">, which is excluded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Connection strings are</w:t>
      </w:r>
      <w:r>
        <w:t xml:space="preserve"> </w:t>
      </w:r>
      <w:r>
        <w:t xml:space="preserve">redacted before any logging.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user-manual"/>
    <w:p>
      <w:pPr>
        <w:pStyle w:val="Heading1"/>
      </w:pPr>
      <w:r>
        <w:t xml:space="preserve">16. User Manual</w:t>
      </w:r>
    </w:p>
    <w:p>
      <w:pPr>
        <w:pStyle w:val="FirstParagraph"/>
      </w:pPr>
      <w:r>
        <w:rPr>
          <w:i/>
          <w:iCs/>
        </w:rPr>
        <w:t xml:space="preserve">Presented in full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User_Manual.docx</w:t>
      </w:r>
      <w:r>
        <w:rPr>
          <w:i/>
          <w:iCs/>
        </w:rPr>
        <w:t xml:space="preserve">, covering sign-in, navigation, and step-by-step</w:t>
      </w:r>
      <w:r>
        <w:rPr>
          <w:i/>
          <w:iCs/>
        </w:rPr>
        <w:t xml:space="preserve"> </w:t>
      </w:r>
      <w:r>
        <w:rPr>
          <w:i/>
          <w:iCs/>
        </w:rPr>
        <w:t xml:space="preserve">instructions for each of the 19 roles, followed by an administration guide (installation,</w:t>
      </w:r>
      <w:r>
        <w:rPr>
          <w:i/>
          <w:iCs/>
        </w:rPr>
        <w:t xml:space="preserve"> </w:t>
      </w:r>
      <w:r>
        <w:rPr>
          <w:i/>
          <w:iCs/>
        </w:rPr>
        <w:t xml:space="preserve">online/offline operation, account management, routine maintenance, backup and recovery,</w:t>
      </w:r>
      <w:r>
        <w:rPr>
          <w:i/>
          <w:iCs/>
        </w:rPr>
        <w:t xml:space="preserve"> </w:t>
      </w:r>
      <w:r>
        <w:rPr>
          <w:i/>
          <w:iCs/>
        </w:rPr>
        <w:t xml:space="preserve">troubleshooting).</w:t>
      </w:r>
    </w:p>
    <w:p>
      <w:pPr>
        <w:pStyle w:val="BodyText"/>
      </w:pPr>
      <w:r>
        <w:t xml:space="preserve">Two points from it are worth repeating here because they are commonly mistaken for faults: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Modules missing from the sidebar</w:t>
      </w:r>
      <w:r>
        <w:t xml:space="preserve"> </w:t>
      </w:r>
      <w:r>
        <w:t xml:space="preserve">are modules the signed-in role may not use.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administrator cannot open patient records.</w:t>
      </w:r>
      <w:r>
        <w:t xml:space="preserve"> </w:t>
      </w:r>
      <w:r>
        <w:t xml:space="preserve">This is the Data Protection Act</w:t>
      </w:r>
      <w:r>
        <w:t xml:space="preserve"> </w:t>
      </w:r>
      <w:r>
        <w:t xml:space="preserve">restriction being enforced, not a malfunction.</w:t>
      </w:r>
    </w:p>
    <w:p>
      <w:r>
        <w:pict>
          <v:rect style="width:0;height:1.5pt" o:hralign="center" o:hrstd="t" o:hr="t"/>
        </w:pict>
      </w:r>
    </w:p>
    <w:bookmarkEnd w:id="69"/>
    <w:bookmarkStart w:id="70" w:name="X8f9e859760f89768a88d59deacc4db362bc1627"/>
    <w:p>
      <w:pPr>
        <w:pStyle w:val="Heading1"/>
      </w:pPr>
      <w:r>
        <w:t xml:space="preserve">17. System Administration and Maintenance Guide</w:t>
      </w:r>
    </w:p>
    <w:p>
      <w:pPr>
        <w:pStyle w:val="FirstParagraph"/>
      </w:pPr>
      <w:r>
        <w:rPr>
          <w:i/>
          <w:iCs/>
        </w:rPr>
        <w:t xml:space="preserve">Presented in full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User_Manual.docx</w:t>
      </w:r>
      <w:r>
        <w:rPr>
          <w:i/>
          <w:iCs/>
        </w:rPr>
        <w:t xml:space="preserve"> </w:t>
      </w:r>
      <w:r>
        <w:rPr>
          <w:i/>
          <w:iCs/>
        </w:rPr>
        <w:t xml:space="preserve">Part III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Maintenance_and_Evolution.docx</w:t>
      </w:r>
      <w:r>
        <w:rPr>
          <w:i/>
          <w:iCs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the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licence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dependency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Rotate the session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Rehearse a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the access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security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security-considerations"/>
    <w:p>
      <w:pPr>
        <w:pStyle w:val="Heading1"/>
      </w:pPr>
      <w:r>
        <w:t xml:space="preserve">18. Security Considerations</w:t>
      </w:r>
    </w:p>
    <w:bookmarkStart w:id="71" w:name="threat-model"/>
    <w:p>
      <w:pPr>
        <w:pStyle w:val="Heading2"/>
      </w:pPr>
      <w:r>
        <w:t xml:space="preserve">18.1 Threat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hashing; no plaintext storage or transmission; throttled 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forgery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signature with constant-time comparison; verified on every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read from the signed token, never from the client; policy fails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enumeration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response for unknown address and wrong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Parameterised queries through Prisma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Unauthorised 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policy on all 24 endpoints; DPC restriction on the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attributing every action to a session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recomputes financial totals; claim demographics read from the patient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passwordHash</w:t>
            </w:r>
            <w:r>
              <w:t xml:space="preserve"> </w:t>
            </w:r>
            <w:r>
              <w:t xml:space="preserve">excluded by explicit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; connection strings redacted;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untracked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refuses a session secret under 32 characters</w:t>
            </w:r>
          </w:p>
        </w:tc>
      </w:tr>
    </w:tbl>
    <w:bookmarkEnd w:id="71"/>
    <w:bookmarkStart w:id="72" w:name="X2554053e0be75879c065190840bfaf2e316d85a"/>
    <w:p>
      <w:pPr>
        <w:pStyle w:val="Heading2"/>
      </w:pPr>
      <w:r>
        <w:t xml:space="preserve">18.2 Compliance with the Data Protection Act, 2012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Lawful, minimal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captures only what care and claims require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confines data to those with a care or administrative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record per patient; demographics sourced from the record, not retyped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in transit, hashed credentials, server-enforced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trail of every access and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at registration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administrator restriction is the clearest expression of this.</w:t>
      </w:r>
      <w:r>
        <w:t xml:space="preserve"> </w:t>
      </w:r>
      <w:r>
        <w:t xml:space="preserve">It would have been easier</w:t>
      </w:r>
      <w:r>
        <w:t xml:space="preserve"> </w:t>
      </w:r>
      <w:r>
        <w:t xml:space="preserve">to grant the Super Admin unrestricted access, and every conventional admin panel does. Section</w:t>
      </w:r>
      <w:r>
        <w:t xml:space="preserve"> </w:t>
      </w:r>
      <w:r>
        <w:t xml:space="preserve">20 of the Act limits access to those with a legitimate need, and a technical administrator has</w:t>
      </w:r>
      <w:r>
        <w:t xml:space="preserve"> </w:t>
      </w:r>
      <w:r>
        <w:t xml:space="preserve">none for clinical records. The restriction is enforced in code, tested, and demonstrated in the</w:t>
      </w:r>
      <w:r>
        <w:t xml:space="preserve"> </w:t>
      </w:r>
      <w:r>
        <w:t xml:space="preserve">live access matrix.</w:t>
      </w:r>
    </w:p>
    <w:bookmarkEnd w:id="72"/>
    <w:bookmarkStart w:id="73" w:name="residual-risks"/>
    <w:p>
      <w:pPr>
        <w:pStyle w:val="Heading2"/>
      </w:pPr>
      <w:r>
        <w:t xml:space="preserve">18.3 Residual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Process-local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Weakened across multiple instances; shared store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demonstration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for seeded demonstration data; forced change planned before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penetration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before any production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audit 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grows unbounded; retention policy 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challenges-and-solutions"/>
    <w:p>
      <w:pPr>
        <w:pStyle w:val="Heading1"/>
      </w:pPr>
      <w:r>
        <w:t xml:space="preserve">19. Challenges and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cost, and what it bought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system looked complete but was not.</w:t>
            </w:r>
            <w:r>
              <w:t xml:space="preserve"> </w:t>
            </w:r>
            <w:r>
              <w:t xml:space="preserve">Screens rendered convincingly from ~900 lines of fabricated client-side data that masked empty tables and a storage/presentation mismatch.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all fabricated data; built a single adapter layer; seeded every table; added 11 conversion tests.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Cost: a large refactor mid-project. Bought: certainty that what is on screen is in the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 existed but could be bypassed.</w:t>
            </w:r>
            <w:r>
              <w:t xml:space="preserve"> </w:t>
            </w:r>
            <w:r>
              <w:t xml:space="preserve">Three separate fallbacks signed users in without a password; identity lived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where any user could edit their own role.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as signed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sessions with a server perimeter and a fail-closed policy on all endpoints.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Cost: the largest single piece of work. Bought: the system’s central claim being true.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Reconciling administrator convenience with the Data Protection 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Barred the Super Admin from clinical data at the server; added an aggregate statistics endpoint so oversight survives without identifiers.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Cost: an extra endpoint and a less conventional admin experience. Bought: demonstrable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Dates were text.</w:t>
            </w:r>
            <w:r>
              <w:t xml:space="preserve"> </w:t>
            </w:r>
            <w:r>
              <w:t xml:space="preserve">Lexical comparison meant expiry checks and month filters silently returned wrong rows.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Migrated 16 columns to native types with in-place conversion; centralised parsing and formatting; rejected malformed input at the 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Cost: a schema migration touching nine tables. Bought: comparisons that are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Concurrency in dispensing and numbering.</w:t>
            </w:r>
            <w:r>
              <w:t xml:space="preserve"> </w:t>
            </w:r>
            <w:r>
              <w:t xml:space="preserve">Read-then-write stock deduction lost units;</w:t>
            </w:r>
            <w:r>
              <w:t xml:space="preserve"> </w:t>
            </w:r>
            <w:r>
              <w:rPr>
                <w:rStyle w:val="VerbatimChar"/>
              </w:rPr>
              <w:t xml:space="preserve">count() + 1</w:t>
            </w:r>
            <w:r>
              <w:t xml:space="preserve"> </w:t>
            </w:r>
            <w:r>
              <w:t xml:space="preserve">numbering produced duplicates.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dispensing with a conditional decrement; candidate-and-retry numbering against the unique index.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Cost: more careful handlers. Bought: correctness under simultaneous use — the normal condition in a hospital.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AI that must not be dangerous or fragile.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suggestions to stocked medicines; re-derived allergy conflicts locally; added a deterministic GSTG fallback; disclosed the source.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Cost: the assistant is narrower than an unconstrained one. Bought: an assistant that is safe when wrong and useful when offline.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Facilities lose connectivity.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Local/cloud database selection with an identical schema and seed, resolved in one place and covered by tests.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Cost: a configuration layer. Bought: a system usable during an 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submission that could not have been assessed.</w:t>
            </w:r>
            <w:r>
              <w:t xml:space="preserve"> </w:t>
            </w:r>
            <w:r>
              <w:t xml:space="preserve">All nine credentials published for the examiner failed against the live 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Provisioned dedicated examiner accounts and verified them against the deployment before publishing.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Cost: an hour. Bought: the difference between a working submission and an unusable 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limitations"/>
    <w:p>
      <w:pPr>
        <w:pStyle w:val="Heading1"/>
      </w:pPr>
      <w:r>
        <w:t xml:space="preserve">20. Limitations</w:t>
      </w:r>
    </w:p>
    <w:p>
      <w:pPr>
        <w:pStyle w:val="FirstParagraph"/>
      </w:pPr>
      <w:r>
        <w:t xml:space="preserve">Stated plainly. Each is a bounded, known limitation rather than an unexamined gap.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 NIA or NHIA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Card and NHIS numbers are validated for format and internal consistency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an accredited integration agreement (C-03)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 is metadata-only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reports and accession numbers are managed; images are not stored or 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DICOM infrastructure beyond project resources (C-04)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is process-local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Throttling weakens across multiple serverless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constraint; shared store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DHIMS2 export is on-screen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are computed correctly but must be re-keyed into DHIMS2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specification not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assistant needs an Ollama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a three-condition rule engine — safe but 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Deliberate: no paid API, must work offline (C-05)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offline-to-online 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created offline stay in the local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resolution is a substantial design problem; scheduled in 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endpoints exceed the latency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 s against an 800 ms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Cross-region database round trip; remedy scheduled in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audit 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 table grows without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 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record merge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 are prevented but historical duplicates cannot be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requirement FR-PAT-07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end-to-end browser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regressions rely on manual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in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data is deliberately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load-representative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so every figure on screen is traceable to a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 accounts share a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Unacceptable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password change scheduled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maintenance-strategy"/>
    <w:p>
      <w:pPr>
        <w:pStyle w:val="Heading1"/>
      </w:pPr>
      <w:r>
        <w:t xml:space="preserve">21. Maintenance Strategy</w:t>
      </w:r>
    </w:p>
    <w:p>
      <w:pPr>
        <w:pStyle w:val="FirstParagraph"/>
      </w:pPr>
      <w:r>
        <w:rPr>
          <w:i/>
          <w:iCs/>
        </w:rPr>
        <w:t xml:space="preserve">Presented in full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Maintenance_and_Evolution.docx</w:t>
      </w:r>
      <w:r>
        <w:rPr>
          <w:i/>
          <w:iCs/>
        </w:rPr>
        <w:t xml:space="preserve">. Summarised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by clinical consequence, not technical difficulty. Critical fixed within 24 hours. Every fix begins with a failing test, which is retained as a regression guard.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Tariffs, ICD codes and reporting formats are data rather than code, so annual regulatory change is a data update. Runtime and database upgrades are unobstructed by version-specific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Improvements prioritised by clinical value, frequency, effort and risk, with automatic risk weighting for anything touching the access model or a transaction boundary.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dependency audit, monthly updates, quarterly secret rotation, quarterly restore rehearsal, quarterly policy review, and an openly published technical debt register.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makes it maintainable</w:t>
      </w:r>
      <w:r>
        <w:t xml:space="preserve"> </w:t>
      </w:r>
      <w:r>
        <w:t xml:space="preserve">is architectural rather than procedural: invariants declared in</w:t>
      </w:r>
      <w:r>
        <w:t xml:space="preserve"> </w:t>
      </w:r>
      <w:r>
        <w:t xml:space="preserve">one place, a type system that carries the database schema into the code, and tests that assert</w:t>
      </w:r>
      <w:r>
        <w:t xml:space="preserve"> </w:t>
      </w:r>
      <w:r>
        <w:t xml:space="preserve">properties rather than only behaviours.</w:t>
      </w:r>
    </w:p>
    <w:p>
      <w:r>
        <w:pict>
          <v:rect style="width:0;height:1.5pt" o:hralign="center" o:hrstd="t" o:hr="t"/>
        </w:pict>
      </w:r>
    </w:p>
    <w:bookmarkEnd w:id="77"/>
    <w:bookmarkStart w:id="78" w:name="future-system-evolution-and-enhancements"/>
    <w:p>
      <w:pPr>
        <w:pStyle w:val="Heading1"/>
      </w:pPr>
      <w:r>
        <w:t xml:space="preserve">22. Future System Evolution and Enhancements</w:t>
      </w:r>
    </w:p>
    <w:p>
      <w:pPr>
        <w:pStyle w:val="FirstParagraph"/>
      </w:pPr>
      <w:r>
        <w:t xml:space="preserve">A five-phase roadmap is set out in</w:t>
      </w:r>
      <w:r>
        <w:t xml:space="preserve"> </w:t>
      </w:r>
      <w:r>
        <w:rPr>
          <w:rStyle w:val="VerbatimChar"/>
        </w:rPr>
        <w:t xml:space="preserve">Maintenance_and_Evolution.docx</w:t>
      </w:r>
      <w:r>
        <w:t xml:space="preserve"> </w:t>
      </w:r>
      <w:r>
        <w:t xml:space="preserve">§13, with a Gantt chart.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Sep–Dec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known debt: shared-store rate limiting, database co-location, pagination, browser tests, forced password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2026–Mar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requirements: record merge, DHIMS2 export, discharge summaries, appointments, audit archival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Apr–Dec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systems: NIA verification, NHIA eligibility and CLAIM-it, mobile money reconciliation, an HL7 FHIR façade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2027–Aug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domains: offline synchronisation, antenatal and immunisation, DICOM imaging, a ward-round mobile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Jun–Dec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beyond prescribing: interaction checking, demand forecasting, claim rejection prediction, speech-to-text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ordering is the argument.</w:t>
      </w:r>
      <w:r>
        <w:t xml:space="preserve"> </w:t>
      </w:r>
      <w:r>
        <w:t xml:space="preserve">Hardening precedes completion because everything is built on</w:t>
      </w:r>
      <w:r>
        <w:t xml:space="preserve"> </w:t>
      </w:r>
      <w:r>
        <w:t xml:space="preserve">it. Integration follows completion but is gated on agreements outside the team’s control.</w:t>
      </w:r>
      <w:r>
        <w:t xml:space="preserve"> </w:t>
      </w:r>
      <w:r>
        <w:t xml:space="preserve">Intelligence is last because forecasting requires accumulated operational history — building it</w:t>
      </w:r>
      <w:r>
        <w:t xml:space="preserve"> </w:t>
      </w:r>
      <w:r>
        <w:t xml:space="preserve">first would produce a system that forecast confidently and could not be trusted.</w:t>
      </w:r>
    </w:p>
    <w:p>
      <w:r>
        <w:pict>
          <v:rect style="width:0;height:1.5pt" o:hralign="center" o:hrstd="t" o:hr="t"/>
        </w:pict>
      </w:r>
    </w:p>
    <w:bookmarkEnd w:id="78"/>
    <w:bookmarkStart w:id="79" w:name="conclusion"/>
    <w:p>
      <w:pPr>
        <w:pStyle w:val="Heading1"/>
      </w:pPr>
      <w:r>
        <w:t xml:space="preserve">23. Conclusion</w:t>
      </w:r>
    </w:p>
    <w:p>
      <w:pPr>
        <w:pStyle w:val="FirstParagraph"/>
      </w:pPr>
      <w:r>
        <w:t xml:space="preserve">HealthEasy-G is a complete, deployed Hospital Management System that maintains one</w:t>
      </w:r>
      <w:r>
        <w:t xml:space="preserve"> </w:t>
      </w:r>
      <w:r>
        <w:t xml:space="preserve">authoritative record per patient across every department of a Ghanaian health facility. It is</w:t>
      </w:r>
      <w:r>
        <w:t xml:space="preserve"> </w:t>
      </w:r>
      <w:r>
        <w:t xml:space="preserve">live at</w:t>
      </w:r>
      <w:r>
        <w:t xml:space="preserve"> </w:t>
      </w:r>
      <w:hyperlink r:id="rId9">
        <w:r>
          <w:rPr>
            <w:rStyle w:val="Hyperlink"/>
          </w:rPr>
          <w:t xml:space="preserve">https://healtheasy-g.vercel.app</w:t>
        </w:r>
      </w:hyperlink>
      <w:r>
        <w:t xml:space="preserve">, backed by PostgreSQL, and every screen reads data</w:t>
      </w:r>
      <w:r>
        <w:t xml:space="preserve"> </w:t>
      </w:r>
      <w:r>
        <w:t xml:space="preserve">from that database rather than from anything held in the browser.</w:t>
      </w:r>
    </w:p>
    <w:p>
      <w:pPr>
        <w:pStyle w:val="BodyText"/>
      </w:pPr>
      <w:r>
        <w:t xml:space="preserve">All nine project objectives were met. The Master Patient Index prevents duplicates at the</w:t>
      </w:r>
      <w:r>
        <w:t xml:space="preserve"> </w:t>
      </w:r>
      <w:r>
        <w:t xml:space="preserve">database level. A single clinical action fans out into the laboratory, the pharmacy, billing</w:t>
      </w:r>
      <w:r>
        <w:t xml:space="preserve"> </w:t>
      </w:r>
      <w:r>
        <w:t xml:space="preserve">and NHIS claims without retyping. Nineteen roles and sixty-two permissions are enforced by the</w:t>
      </w:r>
      <w:r>
        <w:t xml:space="preserve"> </w:t>
      </w:r>
      <w:r>
        <w:t xml:space="preserve">server on all twenty-four endpoints. Regulatory obligations — HeFRA licensing, NHIA G-DRG</w:t>
      </w:r>
      <w:r>
        <w:t xml:space="preserve"> </w:t>
      </w:r>
      <w:r>
        <w:t xml:space="preserve">claims, DHIMS2 returns and the Data Protection Act — are addressed in the system’s behaviour</w:t>
      </w:r>
      <w:r>
        <w:t xml:space="preserve"> </w:t>
      </w:r>
      <w:r>
        <w:t xml:space="preserve">rather than in its documentation. Dispensing and claim batching are atomic. The clinical</w:t>
      </w:r>
      <w:r>
        <w:t xml:space="preserve"> </w:t>
      </w:r>
      <w:r>
        <w:t xml:space="preserve">assistant is restricted to stocked medicines, re-checks allergies itself, and degrades to a</w:t>
      </w:r>
      <w:r>
        <w:t xml:space="preserve"> </w:t>
      </w:r>
      <w:r>
        <w:t xml:space="preserve">deterministic rule engine when offline. The system runs against a local database when the</w:t>
      </w:r>
      <w:r>
        <w:t xml:space="preserve"> </w:t>
      </w:r>
      <w:r>
        <w:t xml:space="preserve">facility has no connectivity.</w:t>
      </w:r>
    </w:p>
    <w:p>
      <w:pPr>
        <w:pStyle w:val="BodyText"/>
      </w:pPr>
      <w:r>
        <w:rPr>
          <w:b/>
          <w:bCs/>
        </w:rPr>
        <w:t xml:space="preserve">The most valuable outcome was not the feature set but what building it revealed.</w:t>
      </w:r>
      <w:r>
        <w:t xml:space="preserve"> </w:t>
      </w:r>
      <w:r>
        <w:t xml:space="preserve">The system</w:t>
      </w:r>
      <w:r>
        <w:t xml:space="preserve"> </w:t>
      </w:r>
      <w:r>
        <w:t xml:space="preserve">reached a point where it looked finished — every screen rendered, every module present — while</w:t>
      </w:r>
      <w:r>
        <w:t xml:space="preserve"> </w:t>
      </w:r>
      <w:r>
        <w:t xml:space="preserve">authentication could be bypassed three different ways, identity was editable from the browser</w:t>
      </w:r>
      <w:r>
        <w:t xml:space="preserve"> </w:t>
      </w:r>
      <w:r>
        <w:t xml:space="preserve">console, writes failed silently, and roughly nine hundred lines of fabricated data were</w:t>
      </w:r>
      <w:r>
        <w:t xml:space="preserve"> </w:t>
      </w:r>
      <w:r>
        <w:t xml:space="preserve">standing in for an empty database. None of that was visible from the interface. It became</w:t>
      </w:r>
      <w:r>
        <w:t xml:space="preserve"> </w:t>
      </w:r>
      <w:r>
        <w:t xml:space="preserve">visible only when the code was read carefully and when tests were written to assert properties</w:t>
      </w:r>
      <w:r>
        <w:t xml:space="preserve"> </w:t>
      </w:r>
      <w:r>
        <w:t xml:space="preserve">rather than to confirm that screens appeared.</w:t>
      </w:r>
    </w:p>
    <w:p>
      <w:pPr>
        <w:pStyle w:val="BodyText"/>
      </w:pPr>
      <w:r>
        <w:t xml:space="preserve">That experience produced the engineering position this project defends:</w:t>
      </w:r>
      <w:r>
        <w:t xml:space="preserve"> </w:t>
      </w:r>
      <w:r>
        <w:rPr>
          <w:b/>
          <w:bCs/>
        </w:rPr>
        <w:t xml:space="preserve">a claim about</w:t>
      </w:r>
      <w:r>
        <w:rPr>
          <w:b/>
          <w:bCs/>
        </w:rPr>
        <w:t xml:space="preserve"> </w:t>
      </w:r>
      <w:r>
        <w:rPr>
          <w:b/>
          <w:bCs/>
        </w:rPr>
        <w:t xml:space="preserve">software is worth only as much as the evidence that can be produced for it.</w:t>
      </w:r>
      <w:r>
        <w:t xml:space="preserve"> </w:t>
      </w:r>
      <w:r>
        <w:t xml:space="preserve">The system claims</w:t>
      </w:r>
      <w:r>
        <w:t xml:space="preserve"> </w:t>
      </w:r>
      <w:r>
        <w:t xml:space="preserve">that a system administrator cannot read patient records; §7.2 of the Testing Report shows the</w:t>
      </w:r>
      <w:r>
        <w:t xml:space="preserve"> </w:t>
      </w:r>
      <w:r>
        <w:t xml:space="preserve">HTTP responses from the live deployment that prove it. It claims that dispensing cannot</w:t>
      </w:r>
      <w:r>
        <w:t xml:space="preserve"> </w:t>
      </w:r>
      <w:r>
        <w:t xml:space="preserve">oversell stock; there is a test that drains a batch concurrently and demonstrates the rollback.</w:t>
      </w:r>
      <w:r>
        <w:t xml:space="preserve"> </w:t>
      </w:r>
      <w:r>
        <w:t xml:space="preserve">It claims a defect log of seventeen items; sixteen are closed and the seventeenth is recorded</w:t>
      </w:r>
      <w:r>
        <w:t xml:space="preserve"> </w:t>
      </w:r>
      <w:r>
        <w:t xml:space="preserve">as open with its cause, its measurement and its scheduled remedy.</w:t>
      </w:r>
    </w:p>
    <w:p>
      <w:pPr>
        <w:pStyle w:val="BodyText"/>
      </w:pPr>
      <w:r>
        <w:t xml:space="preserve">Twelve limitations are stated openly rather than omitted, and each is bounded and scheduled.</w:t>
      </w:r>
      <w:r>
        <w:t xml:space="preserve"> </w:t>
      </w:r>
      <w:r>
        <w:t xml:space="preserve">The system is not finished — hospital software never is — but it is honest about where it</w:t>
      </w:r>
      <w:r>
        <w:t xml:space="preserve"> </w:t>
      </w:r>
      <w:r>
        <w:t xml:space="preserve">stands, and it is built so that the next person to change it can find the rule they need to</w:t>
      </w:r>
      <w:r>
        <w:t xml:space="preserve"> </w:t>
      </w:r>
      <w:r>
        <w:t xml:space="preserve">change in one place.</w:t>
      </w:r>
    </w:p>
    <w:p>
      <w:r>
        <w:pict>
          <v:rect style="width:0;height:1.5pt" o:hralign="center" o:hrstd="t" o:hr="t"/>
        </w:pict>
      </w:r>
    </w:p>
    <w:bookmarkEnd w:id="79"/>
    <w:bookmarkStart w:id="86" w:name="references"/>
    <w:p>
      <w:pPr>
        <w:pStyle w:val="Heading1"/>
      </w:pPr>
      <w:r>
        <w:t xml:space="preserve">24. References</w:t>
      </w:r>
    </w:p>
    <w:bookmarkStart w:id="80" w:name="regulatory-and-clinical-sources"/>
    <w:p>
      <w:pPr>
        <w:pStyle w:val="Heading2"/>
      </w:pPr>
      <w:r>
        <w:t xml:space="preserve">24.1 Regulatory and Clinical Sources</w:t>
      </w:r>
    </w:p>
    <w:p>
      <w:pPr>
        <w:pStyle w:val="Compact"/>
        <w:numPr>
          <w:ilvl w:val="0"/>
          <w:numId w:val="1005"/>
        </w:numPr>
      </w:pPr>
      <w:r>
        <w:t xml:space="preserve">Republic of Ghana.</w:t>
      </w:r>
      <w:r>
        <w:t xml:space="preserve"> </w:t>
      </w:r>
      <w:r>
        <w:rPr>
          <w:i/>
          <w:iCs/>
        </w:rPr>
        <w:t xml:space="preserve">Data Protection Act, 2012 (Act 843)</w:t>
      </w:r>
      <w:r>
        <w:t xml:space="preserve">. Accra: Ghana Publishing Company.</w:t>
      </w:r>
    </w:p>
    <w:p>
      <w:pPr>
        <w:pStyle w:val="Compact"/>
        <w:numPr>
          <w:ilvl w:val="0"/>
          <w:numId w:val="1005"/>
        </w:numPr>
      </w:pPr>
      <w:r>
        <w:t xml:space="preserve">Ministry of Health, Ghana.</w:t>
      </w:r>
      <w:r>
        <w:t xml:space="preserve"> </w:t>
      </w:r>
      <w:r>
        <w:rPr>
          <w:i/>
          <w:iCs/>
        </w:rPr>
        <w:t xml:space="preserve">Standard Treatment Guidelines</w:t>
      </w:r>
      <w:r>
        <w:t xml:space="preserve">, 7th edition. Accra: Ghana National Drugs Programme.</w:t>
      </w:r>
    </w:p>
    <w:p>
      <w:pPr>
        <w:pStyle w:val="Compact"/>
        <w:numPr>
          <w:ilvl w:val="0"/>
          <w:numId w:val="1005"/>
        </w:numPr>
      </w:pPr>
      <w:r>
        <w:t xml:space="preserve">National Health Insurance Authority.</w:t>
      </w:r>
      <w:r>
        <w:t xml:space="preserve"> </w:t>
      </w:r>
      <w:r>
        <w:rPr>
          <w:i/>
          <w:iCs/>
        </w:rPr>
        <w:t xml:space="preserve">Ghana Diagnosis-Related Groupings (G-DRG) Tariff Structure and Claims Submission Guidelines</w:t>
      </w:r>
      <w:r>
        <w:t xml:space="preserve">. Accra: NHIA.</w:t>
      </w:r>
    </w:p>
    <w:p>
      <w:pPr>
        <w:pStyle w:val="Compact"/>
        <w:numPr>
          <w:ilvl w:val="0"/>
          <w:numId w:val="1005"/>
        </w:numPr>
      </w:pPr>
      <w:r>
        <w:t xml:space="preserve">Ghana Health Service.</w:t>
      </w:r>
      <w:r>
        <w:t xml:space="preserve"> </w:t>
      </w:r>
      <w:r>
        <w:rPr>
          <w:i/>
          <w:iCs/>
        </w:rPr>
        <w:t xml:space="preserve">District Health Information Management System (DHIMS2) Reporting Requirements</w:t>
      </w:r>
      <w:r>
        <w:t xml:space="preserve">. Accra: GHS.</w:t>
      </w:r>
    </w:p>
    <w:p>
      <w:pPr>
        <w:pStyle w:val="Compact"/>
        <w:numPr>
          <w:ilvl w:val="0"/>
          <w:numId w:val="1005"/>
        </w:numPr>
      </w:pPr>
      <w:r>
        <w:t xml:space="preserve">Ghana Health Service.</w:t>
      </w:r>
      <w:r>
        <w:t xml:space="preserve"> </w:t>
      </w:r>
      <w:r>
        <w:rPr>
          <w:i/>
          <w:iCs/>
        </w:rPr>
        <w:t xml:space="preserve">Standard Operating Procedures for Health Information Management</w:t>
      </w:r>
      <w:r>
        <w:t xml:space="preserve">. Accra: GHS.</w:t>
      </w:r>
    </w:p>
    <w:p>
      <w:pPr>
        <w:pStyle w:val="Compact"/>
        <w:numPr>
          <w:ilvl w:val="0"/>
          <w:numId w:val="1005"/>
        </w:numPr>
      </w:pPr>
      <w:r>
        <w:t xml:space="preserve">Health Facilities Regulatory Agency.</w:t>
      </w:r>
      <w:r>
        <w:t xml:space="preserve"> </w:t>
      </w:r>
      <w:r>
        <w:rPr>
          <w:i/>
          <w:iCs/>
        </w:rPr>
        <w:t xml:space="preserve">Facility Licensing Requirements and Standards</w:t>
      </w:r>
      <w:r>
        <w:t xml:space="preserve">. Accra: HeFRA.</w:t>
      </w:r>
    </w:p>
    <w:p>
      <w:pPr>
        <w:pStyle w:val="Compact"/>
        <w:numPr>
          <w:ilvl w:val="0"/>
          <w:numId w:val="1005"/>
        </w:numPr>
      </w:pPr>
      <w:r>
        <w:t xml:space="preserve">World Health Organization.</w:t>
      </w:r>
      <w:r>
        <w:t xml:space="preserve"> </w:t>
      </w:r>
      <w:r>
        <w:rPr>
          <w:i/>
          <w:iCs/>
        </w:rPr>
        <w:t xml:space="preserve">International Statistical Classification of Diseases and Related Health Problems, 10th Revision (ICD-10)</w:t>
      </w:r>
      <w:r>
        <w:t xml:space="preserve">. Geneva: WHO.</w:t>
      </w:r>
    </w:p>
    <w:p>
      <w:pPr>
        <w:pStyle w:val="Compact"/>
        <w:numPr>
          <w:ilvl w:val="0"/>
          <w:numId w:val="1005"/>
        </w:numPr>
      </w:pPr>
      <w:r>
        <w:t xml:space="preserve">Gilboy, N., Tanabe, P., Travers, D. and Rosenau, A. M.</w:t>
      </w:r>
      <w:r>
        <w:t xml:space="preserve"> </w:t>
      </w:r>
      <w:r>
        <w:rPr>
          <w:i/>
          <w:iCs/>
        </w:rPr>
        <w:t xml:space="preserve">Emergency Severity Index (ESI): A Triage Tool for Emergency Department Care</w:t>
      </w:r>
      <w:r>
        <w:t xml:space="preserve">, version 4. Rockville: Agency for Healthcare Research and Quality.</w:t>
      </w:r>
    </w:p>
    <w:bookmarkEnd w:id="80"/>
    <w:bookmarkStart w:id="84" w:name="software-engineering-sources"/>
    <w:p>
      <w:pPr>
        <w:pStyle w:val="Heading2"/>
      </w:pPr>
      <w:r>
        <w:t xml:space="preserve">24.2 Software Engineering Sources</w:t>
      </w:r>
    </w:p>
    <w:p>
      <w:pPr>
        <w:pStyle w:val="Compact"/>
        <w:numPr>
          <w:ilvl w:val="0"/>
          <w:numId w:val="1006"/>
        </w:numPr>
      </w:pPr>
      <w:r>
        <w:t xml:space="preserve">IEEE.</w:t>
      </w:r>
      <w:r>
        <w:t xml:space="preserve"> </w:t>
      </w:r>
      <w:r>
        <w:rPr>
          <w:i/>
          <w:iCs/>
        </w:rPr>
        <w:t xml:space="preserve">Std 830-1998: Recommended Practice for Software Requirements Specifications</w:t>
      </w:r>
      <w:r>
        <w:t xml:space="preserve">. New York: IEEE.</w:t>
      </w:r>
    </w:p>
    <w:p>
      <w:pPr>
        <w:pStyle w:val="Compact"/>
        <w:numPr>
          <w:ilvl w:val="0"/>
          <w:numId w:val="1006"/>
        </w:numPr>
      </w:pPr>
      <w:r>
        <w:t xml:space="preserve">Lientz, B. P. and Swanson, E. B.</w:t>
      </w:r>
      <w:r>
        <w:t xml:space="preserve"> </w:t>
      </w:r>
      <w:r>
        <w:rPr>
          <w:i/>
          <w:iCs/>
        </w:rPr>
        <w:t xml:space="preserve">Software Maintenance Management</w:t>
      </w:r>
      <w:r>
        <w:t xml:space="preserve">. Reading: Addison-Wesley.</w:t>
      </w:r>
    </w:p>
    <w:p>
      <w:pPr>
        <w:pStyle w:val="Compact"/>
        <w:numPr>
          <w:ilvl w:val="0"/>
          <w:numId w:val="1006"/>
        </w:numPr>
      </w:pPr>
      <w:r>
        <w:t xml:space="preserve">Sommerville, I.</w:t>
      </w:r>
      <w:r>
        <w:t xml:space="preserve"> </w:t>
      </w:r>
      <w:r>
        <w:rPr>
          <w:i/>
          <w:iCs/>
        </w:rPr>
        <w:t xml:space="preserve">Software Engineering</w:t>
      </w:r>
      <w:r>
        <w:t xml:space="preserve">, 10th edition. Harlow: Pearson.</w:t>
      </w:r>
    </w:p>
    <w:p>
      <w:pPr>
        <w:pStyle w:val="Compact"/>
        <w:numPr>
          <w:ilvl w:val="0"/>
          <w:numId w:val="1006"/>
        </w:numPr>
      </w:pPr>
      <w:r>
        <w:t xml:space="preserve">Fowler, M.</w:t>
      </w:r>
      <w:r>
        <w:t xml:space="preserve"> </w:t>
      </w:r>
      <w:r>
        <w:rPr>
          <w:i/>
          <w:iCs/>
        </w:rPr>
        <w:t xml:space="preserve">Patterns of Enterprise Application Architecture</w:t>
      </w:r>
      <w:r>
        <w:t xml:space="preserve">. Boston: Addison-Wesley.</w:t>
      </w:r>
    </w:p>
    <w:p>
      <w:pPr>
        <w:pStyle w:val="Compact"/>
        <w:numPr>
          <w:ilvl w:val="0"/>
          <w:numId w:val="1006"/>
        </w:numPr>
      </w:pPr>
      <w:r>
        <w:t xml:space="preserve">Newman, S.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, 2nd edition. Sebastopol: O’Reilly Media.</w:t>
      </w:r>
    </w:p>
    <w:p>
      <w:pPr>
        <w:pStyle w:val="Compact"/>
        <w:numPr>
          <w:ilvl w:val="0"/>
          <w:numId w:val="1006"/>
        </w:numPr>
      </w:pPr>
      <w:r>
        <w:t xml:space="preserve">OWASP Foundation.</w:t>
      </w:r>
      <w:r>
        <w:t xml:space="preserve"> </w:t>
      </w:r>
      <w:r>
        <w:rPr>
          <w:i/>
          <w:iCs/>
        </w:rPr>
        <w:t xml:space="preserve">OWASP Top Ten Web Application Security Risks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https://owasp.org/www-project-top-ten/</w:t>
        </w:r>
      </w:hyperlink>
    </w:p>
    <w:p>
      <w:pPr>
        <w:pStyle w:val="Compact"/>
        <w:numPr>
          <w:ilvl w:val="0"/>
          <w:numId w:val="1006"/>
        </w:numPr>
      </w:pPr>
      <w:r>
        <w:t xml:space="preserve">OWASP Foundation.</w:t>
      </w:r>
      <w:r>
        <w:t xml:space="preserve"> </w:t>
      </w:r>
      <w:r>
        <w:rPr>
          <w:i/>
          <w:iCs/>
        </w:rPr>
        <w:t xml:space="preserve">Authentication Cheat Sheet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Session Management Cheat Sheet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https://cheatsheetseries.owasp.org/</w:t>
        </w:r>
      </w:hyperlink>
    </w:p>
    <w:p>
      <w:pPr>
        <w:pStyle w:val="Compact"/>
        <w:numPr>
          <w:ilvl w:val="0"/>
          <w:numId w:val="1006"/>
        </w:numPr>
      </w:pPr>
      <w:r>
        <w:t xml:space="preserve">World Wide Web Consortium.</w:t>
      </w:r>
      <w:r>
        <w:t xml:space="preserve"> </w:t>
      </w:r>
      <w:r>
        <w:rPr>
          <w:i/>
          <w:iCs/>
        </w:rPr>
        <w:t xml:space="preserve">Web Content Accessibility Guidelines (WCAG) 2.1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https://www.w3.org/TR/WCAG21/</w:t>
        </w:r>
      </w:hyperlink>
    </w:p>
    <w:bookmarkEnd w:id="84"/>
    <w:bookmarkStart w:id="85" w:name="Xfb8667edc82e614fdc195d7b6e1bfe61ab26614"/>
    <w:p>
      <w:pPr>
        <w:pStyle w:val="Heading2"/>
      </w:pPr>
      <w:r>
        <w:t xml:space="preserve">24.3 Technologies, Frameworks and Services Acknowledged</w:t>
      </w:r>
    </w:p>
    <w:p>
      <w:pPr>
        <w:pStyle w:val="FirstParagraph"/>
      </w:pPr>
      <w:r>
        <w:t xml:space="preserve">All third-party software used in this project is acknowledged below. Versions are recorded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User-interface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Data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and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Global Development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 UI primitives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Tabler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Wirtz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JS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model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esbuild-kit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 for testing and diagram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MacFarlane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Mikhail Sharanda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OFL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OFL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/ 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</w:tr>
    </w:tbl>
    <w:p>
      <w:pPr>
        <w:pStyle w:val="BodyText"/>
      </w:pPr>
      <w:r>
        <w:t xml:space="preserve">No third-party dataset was used. All seeded data is synthetic and was authored by the group;</w:t>
      </w:r>
      <w:r>
        <w:t xml:space="preserve"> </w:t>
      </w:r>
      <w:r>
        <w:t xml:space="preserve">no real patient data appears anywhere in the system or in this documentation.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appendices"/>
    <w:p>
      <w:pPr>
        <w:pStyle w:val="Heading1"/>
      </w:pPr>
      <w:r>
        <w:t xml:space="preserve">25. Appendices</w:t>
      </w:r>
    </w:p>
    <w:bookmarkStart w:id="87" w:name="appendix-a-repository-structure"/>
    <w:p>
      <w:pPr>
        <w:pStyle w:val="Heading2"/>
      </w:pPr>
      <w:r>
        <w:t xml:space="preserve">Appendix A — Repository Structure</w:t>
      </w:r>
    </w:p>
    <w:p>
      <w:pPr>
        <w:pStyle w:val="SourceCode"/>
      </w:pPr>
      <w:r>
        <w:rPr>
          <w:rStyle w:val="VerbatimChar"/>
        </w:rPr>
        <w:t xml:space="preserve">HealthEasy-G/</w:t>
      </w:r>
      <w:r>
        <w:br/>
      </w:r>
      <w:r>
        <w:rPr>
          <w:rStyle w:val="VerbatimChar"/>
        </w:rPr>
        <w:t xml:space="preserve">├── .github/workflows/ci.yml        Continuous integration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       19 models</w:t>
      </w:r>
      <w:r>
        <w:br/>
      </w:r>
      <w:r>
        <w:rPr>
          <w:rStyle w:val="VerbatimChar"/>
        </w:rPr>
        <w:t xml:space="preserve">│   ├── migrations/                 Versioned SQL migrations</w:t>
      </w:r>
      <w:r>
        <w:br/>
      </w:r>
      <w:r>
        <w:rPr>
          <w:rStyle w:val="VerbatimChar"/>
        </w:rPr>
        <w:t xml:space="preserve">│   ├── seed.ts                     Complete database seed</w:t>
      </w:r>
      <w:r>
        <w:br/>
      </w:r>
      <w:r>
        <w:rPr>
          <w:rStyle w:val="VerbatimChar"/>
        </w:rPr>
        <w:t xml:space="preserve">│   ├── seed-examiner.ts            Examiner account provisioning</w:t>
      </w:r>
      <w:r>
        <w:br/>
      </w:r>
      <w:r>
        <w:rPr>
          <w:rStyle w:val="VerbatimChar"/>
        </w:rPr>
        <w:t xml:space="preserve">│   └── resolve-datasource.ts       Local/cloud selection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(DashboardLayout)/      33 application pages</w:t>
      </w:r>
      <w:r>
        <w:br/>
      </w:r>
      <w:r>
        <w:rPr>
          <w:rStyle w:val="VerbatimChar"/>
        </w:rPr>
        <w:t xml:space="preserve">│   │   ├── api/                    24 route handlers</w:t>
      </w:r>
      <w:r>
        <w:br/>
      </w:r>
      <w:r>
        <w:rPr>
          <w:rStyle w:val="VerbatimChar"/>
        </w:rPr>
        <w:t xml:space="preserve">│   │   ├── components/             Shared and public-site components</w:t>
      </w:r>
      <w:r>
        <w:br/>
      </w:r>
      <w:r>
        <w:rPr>
          <w:rStyle w:val="VerbatimChar"/>
        </w:rPr>
        <w:t xml:space="preserve">│   │   ├── auth/                   Sign-in</w:t>
      </w:r>
      <w:r>
        <w:br/>
      </w:r>
      <w:r>
        <w:rPr>
          <w:rStyle w:val="VerbatimChar"/>
        </w:rPr>
        <w:t xml:space="preserve">│   │   ├── page.tsx                Public landing page</w:t>
      </w:r>
      <w:r>
        <w:br/>
      </w:r>
      <w:r>
        <w:rPr>
          <w:rStyle w:val="VerbatimChar"/>
        </w:rPr>
        <w:t xml:space="preserve">│   │   └── layout.tsx              Root layout, theming</w:t>
      </w:r>
      <w:r>
        <w:br/>
      </w:r>
      <w:r>
        <w:rPr>
          <w:rStyle w:val="VerbatimChar"/>
        </w:rPr>
        <w:t xml:space="preserve">│   ├── lib/                        Domain services and security</w:t>
      </w:r>
      <w:r>
        <w:br/>
      </w:r>
      <w:r>
        <w:rPr>
          <w:rStyle w:val="VerbatimChar"/>
        </w:rPr>
        <w:t xml:space="preserve">│   ├── components/                 UI primitives, RoleGuard, RBAC tree</w:t>
      </w:r>
      <w:r>
        <w:br/>
      </w:r>
      <w:r>
        <w:rPr>
          <w:rStyle w:val="VerbatimChar"/>
        </w:rPr>
        <w:t xml:space="preserve">│   ├── context/HMSContext.tsx      Client state</w:t>
      </w:r>
      <w:r>
        <w:br/>
      </w:r>
      <w:r>
        <w:rPr>
          <w:rStyle w:val="VerbatimChar"/>
        </w:rPr>
        <w:t xml:space="preserve">│   └── proxy.ts                    Security perimeter</w:t>
      </w:r>
      <w:r>
        <w:br/>
      </w:r>
      <w:r>
        <w:rPr>
          <w:rStyle w:val="VerbatimChar"/>
        </w:rPr>
        <w:t xml:space="preserve">├── tests/                          53 automated tests</w:t>
      </w:r>
      <w:r>
        <w:br/>
      </w:r>
      <w:r>
        <w:rPr>
          <w:rStyle w:val="VerbatimChar"/>
        </w:rPr>
        <w:t xml:space="preserve">├── scripts/                        Database and documentation tooling</w:t>
      </w:r>
      <w:r>
        <w:br/>
      </w:r>
      <w:r>
        <w:rPr>
          <w:rStyle w:val="VerbatimChar"/>
        </w:rPr>
        <w:t xml:space="preserve">├── docs/                           Documentation sources</w:t>
      </w:r>
      <w:r>
        <w:br/>
      </w:r>
      <w:r>
        <w:rPr>
          <w:rStyle w:val="VerbatimChar"/>
        </w:rPr>
        <w:t xml:space="preserve">└── README.md                       Examiner quick guide</w:t>
      </w:r>
    </w:p>
    <w:bookmarkEnd w:id="87"/>
    <w:bookmarkStart w:id="88" w:name="appendix-b-api-endpoint-reference"/>
    <w:p>
      <w:pPr>
        <w:pStyle w:val="Heading2"/>
      </w:pPr>
      <w:r>
        <w:t xml:space="preserve">Appendix B — API Endpoint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and issue a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a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current staff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Patient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/api/encounters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consultations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/api/lab-orders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/api/lab-catalogue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/api/radiology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Imaging orders and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Ward bed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Medication 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/api/pharmacy/dispense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Dispensing with stock deduction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and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/api/nhis-claims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/api/nhis-batches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batching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statistics, no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/api/dhims2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DHIMS2 monthly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decision support</w:t>
            </w:r>
          </w:p>
        </w:tc>
      </w:tr>
    </w:tbl>
    <w:bookmarkEnd w:id="88"/>
    <w:bookmarkStart w:id="89" w:name="appendix-c-role-and-permission-summary"/>
    <w:p>
      <w:pPr>
        <w:pStyle w:val="Heading2"/>
      </w:pPr>
      <w:r>
        <w:t xml:space="preserve">Appendix C — Role and Permission Summary</w:t>
      </w:r>
    </w:p>
    <w:p>
      <w:pPr>
        <w:pStyle w:val="FirstParagraph"/>
      </w:pPr>
      <w:r>
        <w:t xml:space="preserve">Nineteen roles across four hierarchy levels, holding sixty-two permissions.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Director, System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Admin, OPD / Medical Records, Doctor, Nurse, Ward Manager, Theatre Nurse, Laboratory Technician, Radiographer, Radiologist, Pharmacist, Cashier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Officer, Claims Officer, HR Officer, Procurement Officer, Store Keeper</w:t>
            </w:r>
          </w:p>
        </w:tc>
      </w:tr>
    </w:tbl>
    <w:p>
      <w:pPr>
        <w:pStyle w:val="BodyText"/>
      </w:pPr>
      <w:r>
        <w:t xml:space="preserve">Each role definition carries</w:t>
      </w:r>
      <w:r>
        <w:t xml:space="preserve"> </w:t>
      </w:r>
      <w:r>
        <w:rPr>
          <w:rStyle w:val="VerbatimChar"/>
        </w:rPr>
        <w:t xml:space="preserve">allowedRoutes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and an explicit</w:t>
      </w:r>
      <w:r>
        <w:t xml:space="preserve"> </w:t>
      </w:r>
      <w:r>
        <w:rPr>
          <w:rStyle w:val="VerbatimChar"/>
        </w:rPr>
        <w:t xml:space="preserve">cannot</w:t>
      </w:r>
      <w:r>
        <w:t xml:space="preserve"> </w:t>
      </w:r>
      <w:r>
        <w:t xml:space="preserve">list. The</w:t>
      </w:r>
      <w:r>
        <w:t xml:space="preserve"> </w:t>
      </w:r>
      <w:r>
        <w:rPr>
          <w:rStyle w:val="VerbatimChar"/>
        </w:rPr>
        <w:t xml:space="preserve">cannot</w:t>
      </w:r>
      <w:r>
        <w:t xml:space="preserve"> </w:t>
      </w:r>
      <w:r>
        <w:t xml:space="preserve">entries are not decorative: the Super Admin’s — that it may not access patient</w:t>
      </w:r>
      <w:r>
        <w:t xml:space="preserve"> </w:t>
      </w:r>
      <w:r>
        <w:t xml:space="preserve">records — is enforced and tested.</w:t>
      </w:r>
    </w:p>
    <w:bookmarkEnd w:id="89"/>
    <w:bookmarkStart w:id="90" w:name="appendix-d-environment-variables"/>
    <w:p>
      <w:pPr>
        <w:pStyle w:val="Heading2"/>
      </w:pPr>
      <w:r>
        <w:t xml:space="preserve">Appendix D —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DATABASE_URL_LOCAL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PostgreSQL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DATABASE_URL_CLOUD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PostgreSQL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 both; used by CI and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signing key, ≥32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SESSION_MAX_AGE_SECONDS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lifetime, default 28800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assistant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timeout, default 15000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NEXT_PUBLIC_FACILITY_CODE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facility code</w:t>
            </w:r>
          </w:p>
        </w:tc>
      </w:tr>
    </w:tbl>
    <w:bookmarkEnd w:id="90"/>
    <w:bookmarkStart w:id="91" w:name="appendix-e-commands"/>
    <w:p>
      <w:pPr>
        <w:pStyle w:val="Heading2"/>
      </w:pPr>
      <w:r>
        <w:t xml:space="preserve">Appendix E —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no emit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automated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db:setup:local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seed the offline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db:setup:cloud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seed the online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db:studio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db:seed:examiner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examiner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scripts/db-inspect.mjs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counts and column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scripts/build-docs.mjs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this documentation set</w:t>
            </w:r>
          </w:p>
        </w:tc>
      </w:tr>
    </w:tbl>
    <w:bookmarkEnd w:id="91"/>
    <w:bookmarkStart w:id="92" w:name="appendix-f-test-execution-summary"/>
    <w:p>
      <w:pPr>
        <w:pStyle w:val="Heading2"/>
      </w:pPr>
      <w:r>
        <w:t xml:space="preserve">Appendix F — Test Execution Summary</w:t>
      </w:r>
    </w:p>
    <w:p>
      <w:pPr>
        <w:pStyle w:val="SourceCode"/>
      </w:pPr>
      <w:r>
        <w:rPr>
          <w:rStyle w:val="VerbatimChar"/>
        </w:rPr>
        <w:t xml:space="preserve">ℹ tests 53</w:t>
      </w:r>
      <w:r>
        <w:br/>
      </w:r>
      <w:r>
        <w:rPr>
          <w:rStyle w:val="VerbatimChar"/>
        </w:rPr>
        <w:t xml:space="preserve">ℹ suites 14</w:t>
      </w:r>
      <w:r>
        <w:br/>
      </w:r>
      <w:r>
        <w:rPr>
          <w:rStyle w:val="VerbatimChar"/>
        </w:rPr>
        <w:t xml:space="preserve">ℹ pass 53</w:t>
      </w:r>
      <w:r>
        <w:br/>
      </w:r>
      <w:r>
        <w:rPr>
          <w:rStyle w:val="VerbatimChar"/>
        </w:rPr>
        <w:t xml:space="preserve">ℹ fail 0</w:t>
      </w:r>
      <w:r>
        <w:br/>
      </w:r>
      <w:r>
        <w:rPr>
          <w:rStyle w:val="VerbatimChar"/>
        </w:rPr>
        <w:t xml:space="preserve">ℹ duration_ms 1549.7849</w:t>
      </w:r>
    </w:p>
    <w:p>
      <w:pPr>
        <w:pStyle w:val="FirstParagraph"/>
      </w:pPr>
      <w:r>
        <w:t xml:space="preserve">Full output, the live access-control matrix, performance measurements and the complete defect</w:t>
      </w:r>
      <w:r>
        <w:t xml:space="preserve"> </w:t>
      </w:r>
      <w:r>
        <w:t xml:space="preserve">log appear in</w:t>
      </w:r>
      <w:r>
        <w:t xml:space="preserve"> </w:t>
      </w:r>
      <w:r>
        <w:rPr>
          <w:rStyle w:val="VerbatimChar"/>
        </w:rPr>
        <w:t xml:space="preserve">Testing_Report.docx</w:t>
      </w:r>
      <w:r>
        <w:t xml:space="preserve">.</w:t>
      </w:r>
    </w:p>
    <w:bookmarkEnd w:id="92"/>
    <w:bookmarkStart w:id="93" w:name="Xdb0d0f626f265bd857ae6ba8a2ae1b08f54722e"/>
    <w:p>
      <w:pPr>
        <w:pStyle w:val="Heading2"/>
      </w:pPr>
      <w:r>
        <w:t xml:space="preserve">Appendix G — Live Database Contents at Submission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facilityBranch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radiologyOrder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userStaff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pharmacyBatch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dispenseRecord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billingInvoice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vitalSigns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nHISClaimLine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eMREncounter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nHISClaimBatch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inpatientBed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medicationAdministrationRecord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dhimsMonthlyReturn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labTestCatalogue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inventoryStoreItem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auditLog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nHISClaimBatch</w:t>
      </w:r>
      <w:r>
        <w:t xml:space="preserve"> </w:t>
      </w:r>
      <w:r>
        <w:t xml:space="preserve">is empty by design: a batch is created by a Claims Officer action, not seeded.</w:t>
      </w:r>
      <w:r>
        <w:t xml:space="preserve"> </w:t>
      </w:r>
      <w:r>
        <w:t xml:space="preserve">The dataset is deliberately small so that every figure displayed can be traced to a specific</w:t>
      </w:r>
      <w:r>
        <w:t xml:space="preserve"> </w:t>
      </w:r>
      <w:r>
        <w:t xml:space="preserve">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Project Documentation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2" Target="https://cheatsheetseries.owasp.org/" TargetMode="External" /><Relationship Type="http://schemas.openxmlformats.org/officeDocument/2006/relationships/hyperlink" Id="rId10" Target="https://github.com/NketiaAsubontengErnest/HealthEasy-G" TargetMode="External" /><Relationship Type="http://schemas.openxmlformats.org/officeDocument/2006/relationships/hyperlink" Id="rId9" Target="https://healtheasy-g.vercel.app" TargetMode="External" /><Relationship Type="http://schemas.openxmlformats.org/officeDocument/2006/relationships/hyperlink" Id="rId81" Target="https://owasp.org/www-project-top-ten/" TargetMode="External" /><Relationship Type="http://schemas.openxmlformats.org/officeDocument/2006/relationships/hyperlink" Id="rId83" Target="https://www.w3.org/TR/WCAG2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cheatsheetseries.owasp.org/" TargetMode="External" /><Relationship Type="http://schemas.openxmlformats.org/officeDocument/2006/relationships/hyperlink" Id="rId10" Target="https://github.com/NketiaAsubontengErnest/HealthEasy-G" TargetMode="External" /><Relationship Type="http://schemas.openxmlformats.org/officeDocument/2006/relationships/hyperlink" Id="rId9" Target="https://healtheasy-g.vercel.app" TargetMode="External" /><Relationship Type="http://schemas.openxmlformats.org/officeDocument/2006/relationships/hyperlink" Id="rId81" Target="https://owasp.org/www-project-top-ten/" TargetMode="External" /><Relationship Type="http://schemas.openxmlformats.org/officeDocument/2006/relationships/hyperlink" Id="rId83" Target="https://www.w3.org/TR/WCAG2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Project Documentation</dc:title>
  <dc:creator>Group: Architects — CSCD602 Advance Software Development, University of Ghana</dc:creator>
  <dc:language>en-GB</dc:language>
  <cp:keywords/>
  <dcterms:created xsi:type="dcterms:W3CDTF">2026-08-14T12:04:11Z</dcterms:created>
  <dcterms:modified xsi:type="dcterms:W3CDTF">2026-08-14T12:04:11Z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HealthEasy-G Hospital Management System</vt:lpwstr>
  </property>
</Properties>
</file>