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Consolidated Project Documentation</w:t>
      </w:r>
    </w:p>
    <w:p>
      <w:pPr>
        <w:pStyle w:val="Subtitle"/>
      </w:pPr>
      <w:r>
        <w:t xml:space="preserve">PulseTriage — Telehealth Appointment &amp; Urgency Auto-Triage System</w:t>
      </w:r>
    </w:p>
    <w:p>
      <w:pPr>
        <w:pStyle w:val="Author"/>
      </w:pPr>
      <w:r>
        <w:t xml:space="preserve">Ernest Nketia Asubonteng (22424715)</w:t>
      </w:r>
    </w:p>
    <w:p>
      <w:pPr>
        <w:pStyle w:val="Date"/>
      </w:pPr>
      <w:r>
        <w:t xml:space="preserve">CSCD 602 Advanced Software Engineering · University of Ghana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solidated-project-documentation"/>
    <w:p>
      <w:pPr>
        <w:pStyle w:val="Heading1"/>
      </w:pPr>
      <w:r>
        <w:t xml:space="preserve">CONSOLIDATED PROJECT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Ernest Nketia Asubonteng — 22424715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</w:t>
            </w:r>
          </w:p>
        </w:tc>
        <w:tc>
          <w:tcPr/>
          <w:p>
            <w:pPr>
              <w:pStyle w:val="Compact"/>
            </w:pPr>
            <w:r>
              <w:t xml:space="preserve">CSCD 602 Advanced Software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Examiner</w:t>
            </w:r>
          </w:p>
        </w:tc>
        <w:tc>
          <w:tcPr/>
          <w:p>
            <w:pPr>
              <w:pStyle w:val="Compact"/>
            </w:pPr>
            <w:r>
              <w:t xml:space="preserve">Prof. Solomon Mensah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application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https://pulsetriage.vercel.app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https://github.com/NketiaAsubontengErnest/pulsetriage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Companion documents.</w:t>
      </w:r>
      <w:r>
        <w:t xml:space="preserve"> </w:t>
      </w:r>
      <w:r>
        <w:t xml:space="preserve">To keep this document within a readable length, four</w:t>
      </w:r>
      <w:r>
        <w:t xml:space="preserve"> </w:t>
      </w:r>
      <w:r>
        <w:t xml:space="preserve">subjects are specified in depth elsewhere and are only summarised here. Nothing</w:t>
      </w:r>
      <w:r>
        <w:t xml:space="preserve"> </w:t>
      </w:r>
      <w:r>
        <w:t xml:space="preserve">is duplicated between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Holds the detail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SRS.docx</w:t>
            </w:r>
          </w:p>
        </w:tc>
        <w:tc>
          <w:tcPr/>
          <w:p>
            <w:pPr>
              <w:pStyle w:val="Compact"/>
            </w:pPr>
            <w:r>
              <w:t xml:space="preserve">The full requirement catalogue (§6 here summarises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Testing_Report.docx</w:t>
            </w:r>
          </w:p>
        </w:tc>
        <w:tc>
          <w:tcPr/>
          <w:p>
            <w:pPr>
              <w:pStyle w:val="Compact"/>
            </w:pPr>
            <w:r>
              <w:t xml:space="preserve">Test cases and executed results (§11)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Technical_Debt_Plan.docx</w:t>
            </w:r>
          </w:p>
        </w:tc>
        <w:tc>
          <w:tcPr/>
          <w:p>
            <w:pPr>
              <w:pStyle w:val="Compact"/>
            </w:pPr>
            <w:r>
              <w:t xml:space="preserve">Debt register and repayment plan (§12)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User_Manual.docx</w:t>
            </w:r>
          </w:p>
        </w:tc>
        <w:tc>
          <w:tcPr/>
          <w:p>
            <w:pPr>
              <w:pStyle w:val="Compact"/>
            </w:pPr>
            <w:r>
              <w:t xml:space="preserve">Operating instructions for each role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Deployment_and_Source_Links.txt</w:t>
            </w:r>
          </w:p>
        </w:tc>
        <w:tc>
          <w:tcPr/>
          <w:p>
            <w:pPr>
              <w:pStyle w:val="Compact"/>
            </w:pPr>
            <w:r>
              <w:t xml:space="preserve">URLs, credentials, walkthrough (§13)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3b11655ba00baa350753fef37112b3e6adf1be0"/>
    <w:p>
      <w:pPr>
        <w:pStyle w:val="Heading1"/>
      </w:pPr>
      <w:r>
        <w:t xml:space="preserve">1. Project Title</w:t>
      </w:r>
    </w:p>
    <w:p>
      <w:pPr>
        <w:pStyle w:val="FirstParagraph"/>
      </w:pPr>
      <w:r>
        <w:rPr>
          <w:b/>
          <w:bCs/>
        </w:rPr>
        <w:t xml:space="preserve">PulseTriage — A Telehealth Appointment and Urgency Auto-Triage System</w:t>
      </w:r>
    </w:p>
    <w:p>
      <w:pPr>
        <w:pStyle w:val="BodyText"/>
      </w:pPr>
      <w:r>
        <w:t xml:space="preserve">A web application that assesses the clinical urgency of a patient's symptoms</w:t>
      </w:r>
      <w:r>
        <w:t xml:space="preserve"> </w:t>
      </w:r>
      <w:r>
        <w:t xml:space="preserve">before an appointment is booked, so that an outpatient queue is ordered by</w:t>
      </w:r>
      <w:r>
        <w:t xml:space="preserve"> </w:t>
      </w:r>
      <w:r>
        <w:t xml:space="preserve">clinical need rather than by who contacted the clinic first.</w:t>
      </w:r>
    </w:p>
    <w:p>
      <w:r>
        <w:pict>
          <v:rect style="width:0;height:1.5pt" o:hralign="center" o:hrstd="t" o:hr="t"/>
        </w:pict>
      </w:r>
    </w:p>
    <w:bookmarkEnd w:id="12"/>
    <w:bookmarkStart w:id="14" w:name="Xc3cc684388475af2c775f9878e55385d319e70d"/>
    <w:p>
      <w:pPr>
        <w:pStyle w:val="Heading1"/>
      </w:pPr>
      <w:r>
        <w:t xml:space="preserve">2. Problem Statement</w:t>
      </w:r>
    </w:p>
    <w:p>
      <w:pPr>
        <w:pStyle w:val="FirstParagraph"/>
      </w:pPr>
      <w:r>
        <w:t xml:space="preserve">In a conventional outpatient department, the order in which patients are seen is</w:t>
      </w:r>
      <w:r>
        <w:t xml:space="preserve"> </w:t>
      </w:r>
      <w:r>
        <w:t xml:space="preserve">decided by the order in which they arrive or telephone. Clinical urgency plays no</w:t>
      </w:r>
      <w:r>
        <w:t xml:space="preserve"> </w:t>
      </w:r>
      <w:r>
        <w:t xml:space="preserve">part until a clinician is physically in the room with the patient. Four</w:t>
      </w:r>
      <w:r>
        <w:t xml:space="preserve"> </w:t>
      </w:r>
      <w:r>
        <w:t xml:space="preserve">consequences follow.</w:t>
      </w:r>
    </w:p>
    <w:p>
      <w:pPr>
        <w:pStyle w:val="BodyText"/>
      </w:pPr>
      <w:r>
        <w:rPr>
          <w:b/>
          <w:bCs/>
        </w:rPr>
        <w:t xml:space="preserve">Urgency is invisible at the point of scheduling.</w:t>
      </w:r>
      <w:r>
        <w:t xml:space="preserve"> </w:t>
      </w:r>
      <w:r>
        <w:t xml:space="preserve">A patient with exertional</w:t>
      </w:r>
      <w:r>
        <w:t xml:space="preserve"> </w:t>
      </w:r>
      <w:r>
        <w:t xml:space="preserve">chest pain and a patient collecting a repeat certificate occupy identical</w:t>
      </w:r>
      <w:r>
        <w:t xml:space="preserve"> </w:t>
      </w:r>
      <w:r>
        <w:t xml:space="preserve">positions in the queue. The clinic has no signal that would let it distinguish</w:t>
      </w:r>
      <w:r>
        <w:t xml:space="preserve"> </w:t>
      </w:r>
      <w:r>
        <w:t xml:space="preserve">them, because no assessment has taken place.</w:t>
      </w:r>
    </w:p>
    <w:p>
      <w:pPr>
        <w:pStyle w:val="BodyText"/>
      </w:pPr>
      <w:r>
        <w:rPr>
          <w:b/>
          <w:bCs/>
        </w:rPr>
        <w:t xml:space="preserve">The clinician starts the consultation uninformed.</w:t>
      </w:r>
      <w:r>
        <w:t xml:space="preserve"> </w:t>
      </w:r>
      <w:r>
        <w:t xml:space="preserve">History-taking begins at</w:t>
      </w:r>
      <w:r>
        <w:t xml:space="preserve"> </w:t>
      </w:r>
      <w:r>
        <w:t xml:space="preserve">the appointment. Time that could have been spent on examination is spent on</w:t>
      </w:r>
      <w:r>
        <w:t xml:space="preserve"> </w:t>
      </w:r>
      <w:r>
        <w:t xml:space="preserve">questions the patient has already answered to a receptionist.</w:t>
      </w:r>
    </w:p>
    <w:p>
      <w:pPr>
        <w:pStyle w:val="BodyText"/>
      </w:pPr>
      <w:r>
        <w:rPr>
          <w:b/>
          <w:bCs/>
        </w:rPr>
        <w:t xml:space="preserve">Telephone scheduling loses slots.</w:t>
      </w:r>
      <w:r>
        <w:t xml:space="preserve"> </w:t>
      </w:r>
      <w:r>
        <w:t xml:space="preserve">Two callers can be promised the same slot</w:t>
      </w:r>
      <w:r>
        <w:t xml:space="preserve"> </w:t>
      </w:r>
      <w:r>
        <w:t xml:space="preserve">because no shared, authoritative record of availability exists at the moment of</w:t>
      </w:r>
      <w:r>
        <w:t xml:space="preserve"> </w:t>
      </w:r>
      <w:r>
        <w:t xml:space="preserve">the promise.</w:t>
      </w:r>
    </w:p>
    <w:p>
      <w:pPr>
        <w:pStyle w:val="BodyText"/>
      </w:pPr>
      <w:r>
        <w:rPr>
          <w:b/>
          <w:bCs/>
        </w:rPr>
        <w:t xml:space="preserve">Prioritisation decisions leave no trace.</w:t>
      </w:r>
      <w:r>
        <w:t xml:space="preserve"> </w:t>
      </w:r>
      <w:r>
        <w:t xml:space="preserve">When a patient asks why they waited,</w:t>
      </w:r>
      <w:r>
        <w:t xml:space="preserve"> </w:t>
      </w:r>
      <w:r>
        <w:t xml:space="preserve">or a clinical governance review asks how a case was handled, there is no record</w:t>
      </w:r>
      <w:r>
        <w:t xml:space="preserve"> </w:t>
      </w:r>
      <w:r>
        <w:t xml:space="preserve">of the reasoning.</w:t>
      </w:r>
    </w:p>
    <w:p>
      <w:pPr>
        <w:pStyle w:val="BodyText"/>
      </w:pPr>
      <w:r>
        <w:t xml:space="preserve">The consequence is not merely inconvenience. A patient whose condition is</w:t>
      </w:r>
      <w:r>
        <w:t xml:space="preserve"> </w:t>
      </w:r>
      <w:r>
        <w:t xml:space="preserve">deteriorating waits behind patients whose conditions are not, and nobody in the</w:t>
      </w:r>
      <w:r>
        <w:t xml:space="preserve"> </w:t>
      </w:r>
      <w:r>
        <w:t xml:space="preserve">system knows.</w:t>
      </w:r>
    </w:p>
    <w:bookmarkStart w:id="13" w:name="X6650329c14343617bd2fe44b98866ebf440d002"/>
    <w:p>
      <w:pPr>
        <w:pStyle w:val="Heading2"/>
      </w:pPr>
      <w:r>
        <w:t xml:space="preserve">2.1 Why Software Is an Appropriate Response</w:t>
      </w:r>
    </w:p>
    <w:p>
      <w:pPr>
        <w:pStyle w:val="FirstParagraph"/>
      </w:pPr>
      <w:r>
        <w:t xml:space="preserve">The decision "how urgent is this?" is rule-governed, repeatable and currently</w:t>
      </w:r>
      <w:r>
        <w:t xml:space="preserve"> </w:t>
      </w:r>
      <w:r>
        <w:t xml:space="preserve">performed inconsistently by people under time pressure. That is a good fit for</w:t>
      </w:r>
      <w:r>
        <w:t xml:space="preserve"> </w:t>
      </w:r>
      <w:r>
        <w:t xml:space="preserve">software: a deterministic rule engine applies the same standard to every patient</w:t>
      </w:r>
      <w:r>
        <w:t xml:space="preserve"> </w:t>
      </w:r>
      <w:r>
        <w:t xml:space="preserve">and can explain its reasoning afterwards. Scheduling against a single</w:t>
      </w:r>
      <w:r>
        <w:t xml:space="preserve"> </w:t>
      </w:r>
      <w:r>
        <w:t xml:space="preserve">authoritative record eliminates the double-booking that telephone scheduling</w:t>
      </w:r>
      <w:r>
        <w:t xml:space="preserve"> </w:t>
      </w:r>
      <w:r>
        <w:t xml:space="preserve">cannot prevent.</w:t>
      </w:r>
    </w:p>
    <w:p>
      <w:pPr>
        <w:pStyle w:val="BodyText"/>
      </w:pPr>
      <w:r>
        <w:t xml:space="preserve">What software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 here is decide clinical outcomes. The system</w:t>
      </w:r>
      <w:r>
        <w:t xml:space="preserve"> </w:t>
      </w:r>
      <w:r>
        <w:t xml:space="preserve">prioritises and schedules; the clinician diagnoses and treats.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2e1e5e55e50a9be44d6812d4a2a034de65f2d4a"/>
    <w:p>
      <w:pPr>
        <w:pStyle w:val="Heading1"/>
      </w:pPr>
      <w:r>
        <w:t xml:space="preserve">3. Aim and Objectives</w:t>
      </w:r>
    </w:p>
    <w:bookmarkStart w:id="15" w:name="X3453ab1b57b9c78e2c8805db57d6ab99f81f100"/>
    <w:p>
      <w:pPr>
        <w:pStyle w:val="Heading2"/>
      </w:pPr>
      <w:r>
        <w:t xml:space="preserve">3.1 Aim</w:t>
      </w:r>
    </w:p>
    <w:p>
      <w:pPr>
        <w:pStyle w:val="FirstParagraph"/>
      </w:pPr>
      <w:r>
        <w:t xml:space="preserve">To design, build, test and deploy a working telehealth system that orders</w:t>
      </w:r>
      <w:r>
        <w:t xml:space="preserve"> </w:t>
      </w:r>
      <w:r>
        <w:t xml:space="preserve">outpatient care by assessed clinical urgency, delivers the patient's case history</w:t>
      </w:r>
      <w:r>
        <w:t xml:space="preserve"> </w:t>
      </w:r>
      <w:r>
        <w:t xml:space="preserve">to the clinician before the consultation, and records the basis of every</w:t>
      </w:r>
      <w:r>
        <w:t xml:space="preserve"> </w:t>
      </w:r>
      <w:r>
        <w:t xml:space="preserve">prioritisation decision.</w:t>
      </w:r>
    </w:p>
    <w:bookmarkEnd w:id="15"/>
    <w:bookmarkStart w:id="16" w:name="Xc157bec2a2e22da80d123f4f2af5eeb7b3cf8b6"/>
    <w:p>
      <w:pPr>
        <w:pStyle w:val="Heading2"/>
      </w:pPr>
      <w:r>
        <w:t xml:space="preserve">3.2 Objectives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Met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O-1</w:t>
            </w:r>
          </w:p>
        </w:tc>
        <w:tc>
          <w:tcPr/>
          <w:p>
            <w:pPr>
              <w:pStyle w:val="Compact"/>
            </w:pPr>
            <w:r>
              <w:t xml:space="preserve">Elicit, analyse and prioritise requirements before writing code</w:t>
            </w:r>
          </w:p>
        </w:tc>
        <w:tc>
          <w:tcPr/>
          <w:p>
            <w:pPr>
              <w:pStyle w:val="Compact"/>
            </w:pPr>
            <w:r>
              <w:t xml:space="preserve">§5,</w:t>
            </w:r>
            <w:r>
              <w:t xml:space="preserve"> </w:t>
            </w:r>
            <w:r>
              <w:rPr>
                <w:rStyle w:val="VerbatimChar"/>
              </w:rPr>
              <w:t xml:space="preserve">SRS.docx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O-2</w:t>
            </w:r>
          </w:p>
        </w:tc>
        <w:tc>
          <w:tcPr/>
          <w:p>
            <w:pPr>
              <w:pStyle w:val="Compact"/>
            </w:pPr>
            <w:r>
              <w:t xml:space="preserve">Produce a defensible effort estimate and let it govern scope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O-3</w:t>
            </w:r>
          </w:p>
        </w:tc>
        <w:tc>
          <w:tcPr/>
          <w:p>
            <w:pPr>
              <w:pStyle w:val="Compact"/>
            </w:pPr>
            <w:r>
              <w:t xml:space="preserve">Design the architecture, data model and interfaces before implementation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O-4</w:t>
            </w:r>
          </w:p>
        </w:tc>
        <w:tc>
          <w:tcPr/>
          <w:p>
            <w:pPr>
              <w:pStyle w:val="Compact"/>
            </w:pPr>
            <w:r>
              <w:t xml:space="preserve">Implement a deterministic, explainable triage engine</w:t>
            </w:r>
          </w:p>
        </w:tc>
        <w:tc>
          <w:tcPr/>
          <w:p>
            <w:pPr>
              <w:pStyle w:val="Compact"/>
            </w:pPr>
            <w:r>
              <w:t xml:space="preserve">§10.2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O-5</w:t>
            </w:r>
          </w:p>
        </w:tc>
        <w:tc>
          <w:tcPr/>
          <w:p>
            <w:pPr>
              <w:pStyle w:val="Compact"/>
            </w:pPr>
            <w:r>
              <w:t xml:space="preserve">Guarantee that a red-flag presentation cannot result in a booking</w:t>
            </w:r>
          </w:p>
        </w:tc>
        <w:tc>
          <w:tcPr/>
          <w:p>
            <w:pPr>
              <w:pStyle w:val="Compact"/>
            </w:pPr>
            <w:r>
              <w:t xml:space="preserve">§10.2, FR-2.6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O-6</w:t>
            </w:r>
          </w:p>
        </w:tc>
        <w:tc>
          <w:tcPr/>
          <w:p>
            <w:pPr>
              <w:pStyle w:val="Compact"/>
            </w:pPr>
            <w:r>
              <w:t xml:space="preserve">Bind scheduling to real clinician availability and make double-booking impossible</w:t>
            </w:r>
          </w:p>
        </w:tc>
        <w:tc>
          <w:tcPr/>
          <w:p>
            <w:pPr>
              <w:pStyle w:val="Compact"/>
            </w:pPr>
            <w:r>
              <w:t xml:space="preserve">§10.3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O-7</w:t>
            </w:r>
          </w:p>
        </w:tc>
        <w:tc>
          <w:tcPr/>
          <w:p>
            <w:pPr>
              <w:pStyle w:val="Compact"/>
            </w:pPr>
            <w:r>
              <w:t xml:space="preserve">Deliver a working two-way video consultation</w:t>
            </w:r>
          </w:p>
        </w:tc>
        <w:tc>
          <w:tcPr/>
          <w:p>
            <w:pPr>
              <w:pStyle w:val="Compact"/>
            </w:pPr>
            <w:r>
              <w:t xml:space="preserve">§10.4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O-8</w:t>
            </w:r>
          </w:p>
        </w:tc>
        <w:tc>
          <w:tcPr/>
          <w:p>
            <w:pPr>
              <w:pStyle w:val="Compact"/>
            </w:pPr>
            <w:r>
              <w:t xml:space="preserve">Test the system at unit, integration, system and acceptance levels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O-9</w:t>
            </w:r>
          </w:p>
        </w:tc>
        <w:tc>
          <w:tcPr/>
          <w:p>
            <w:pPr>
              <w:pStyle w:val="Compact"/>
            </w:pPr>
            <w:r>
              <w:t xml:space="preserve">Identify technical debt honestly and plan its repayment</w:t>
            </w:r>
          </w:p>
        </w:tc>
        <w:tc>
          <w:tcPr/>
          <w:p>
            <w:pPr>
              <w:pStyle w:val="Compact"/>
            </w:pPr>
            <w:r>
              <w:t xml:space="preserve">§12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O-10</w:t>
            </w:r>
          </w:p>
        </w:tc>
        <w:tc>
          <w:tcPr/>
          <w:p>
            <w:pPr>
              <w:pStyle w:val="Compact"/>
            </w:pPr>
            <w:r>
              <w:t xml:space="preserve">Deploy publicly and verify the running system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X1b0ede919407a69db66799f2b2aab32f2cc5bb0"/>
    <w:p>
      <w:pPr>
        <w:pStyle w:val="Heading1"/>
      </w:pPr>
      <w:r>
        <w:t xml:space="preserve">4. Stakeholders</w:t>
      </w:r>
    </w:p>
    <w:bookmarkStart w:id="18" w:name="X3ebdb25f6a6759ae4164f9b983ef48b717acd18"/>
    <w:p>
      <w:pPr>
        <w:pStyle w:val="Heading2"/>
      </w:pPr>
      <w:r>
        <w:t xml:space="preserve">4.1 Stakeholder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  <w:tc>
          <w:tcPr/>
          <w:p>
            <w:pPr>
              <w:pStyle w:val="Compact"/>
            </w:pPr>
            <w:r>
              <w:t xml:space="preserve">What they need from the 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To be seen in proportion to how unwell they are; to understand what is happening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Clinician</w:t>
            </w:r>
          </w:p>
        </w:tc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queue ordered by need; the case history before the consultation opens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administrator</w:t>
            </w:r>
          </w:p>
        </w:tc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Control of who may practise on the platform; visibility of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 management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Shorter waits for urgent cases without additional staff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Clinical governance</w:t>
            </w:r>
          </w:p>
        </w:tc>
        <w:tc>
          <w:tcPr/>
          <w:p>
            <w:pPr>
              <w:pStyle w:val="Compact"/>
            </w:pPr>
            <w:r>
              <w:t xml:space="preserve">Assurance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Evidence of why each case was prioritised as it was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protection officer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Confidence that personal health data is confined and auditable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Examiner</w:t>
            </w:r>
          </w:p>
        </w:tc>
        <w:tc>
          <w:tcPr/>
          <w:p>
            <w:pPr>
              <w:pStyle w:val="Compact"/>
            </w:pPr>
            <w:r>
              <w:t xml:space="preserve">Assessor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Evidence of engineering method, not only a working artefact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Maintainer (future)</w:t>
            </w:r>
          </w:p>
        </w:tc>
        <w:tc>
          <w:tcPr/>
          <w:p>
            <w:pPr>
              <w:pStyle w:val="Compact"/>
            </w:pPr>
            <w:r>
              <w:t xml:space="preserve">Successor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 codebase and a debt register they can act on</w:t>
            </w:r>
          </w:p>
        </w:tc>
      </w:tr>
    </w:tbl>
    <w:bookmarkEnd w:id="18"/>
    <w:bookmarkStart w:id="19" w:name="Xca492b8164e9849433fddf86eb2846b61267159"/>
    <w:p>
      <w:pPr>
        <w:pStyle w:val="Heading2"/>
      </w:pPr>
      <w:r>
        <w:t xml:space="preserve">4.2 Analysis</w:t>
      </w:r>
    </w:p>
    <w:p>
      <w:pPr>
        <w:pStyle w:val="FirstParagraph"/>
      </w:pPr>
      <w:r>
        <w:t xml:space="preserve">Two stakeholders shape the design most strongly and pull in opposite directions.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patient</w:t>
      </w:r>
      <w:r>
        <w:t xml:space="preserve"> </w:t>
      </w:r>
      <w:r>
        <w:t xml:space="preserve">is the least technically skilled user and the most likely to be</w:t>
      </w:r>
      <w:r>
        <w:t xml:space="preserve"> </w:t>
      </w:r>
      <w:r>
        <w:t xml:space="preserve">anxious or unwell. They need the interface to be unambiguous and to fail safe.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clinician</w:t>
      </w:r>
      <w:r>
        <w:t xml:space="preserve"> </w:t>
      </w:r>
      <w:r>
        <w:t xml:space="preserve">is time-pressured and needs density: as much clinical context</w:t>
      </w:r>
      <w:r>
        <w:t xml:space="preserve"> </w:t>
      </w:r>
      <w:r>
        <w:t xml:space="preserve">as possible, as close to the consultation as possible.</w:t>
      </w:r>
    </w:p>
    <w:p>
      <w:pPr>
        <w:pStyle w:val="BodyText"/>
      </w:pPr>
      <w:r>
        <w:t xml:space="preserve">Where the two conflict, the patient's clarity takes precedence, because the</w:t>
      </w:r>
      <w:r>
        <w:t xml:space="preserve"> </w:t>
      </w:r>
      <w:r>
        <w:t xml:space="preserve">patient bears the risk of misunderstanding. This produced two concrete decisions:</w:t>
      </w:r>
      <w:r>
        <w:t xml:space="preserve"> </w:t>
      </w:r>
      <w:r>
        <w:t xml:space="preserve">an EMERGENCY result removes the booking control entirely rather than merely</w:t>
      </w:r>
      <w:r>
        <w:t xml:space="preserve"> </w:t>
      </w:r>
      <w:r>
        <w:t xml:space="preserve">warning, and the clinician's dense clinical panel is placed beside the</w:t>
      </w:r>
      <w:r>
        <w:t xml:space="preserve"> </w:t>
      </w:r>
      <w:r>
        <w:t xml:space="preserve">consultation rather than in the patient's path.</w:t>
      </w:r>
    </w:p>
    <w:p>
      <w:pPr>
        <w:pStyle w:val="BodyText"/>
      </w:pPr>
      <w:r>
        <w:rPr>
          <w:b/>
          <w:bCs/>
        </w:rPr>
        <w:t xml:space="preserve">Clinical governance</w:t>
      </w:r>
      <w:r>
        <w:t xml:space="preserve"> </w:t>
      </w:r>
      <w:r>
        <w:t xml:space="preserve">is the stakeholder most often forgotten in a student</w:t>
      </w:r>
      <w:r>
        <w:t xml:space="preserve"> </w:t>
      </w:r>
      <w:r>
        <w:t xml:space="preserve">project and is the reason the audit trail exists at all: a prioritisation</w:t>
      </w:r>
      <w:r>
        <w:t xml:space="preserve"> </w:t>
      </w:r>
      <w:r>
        <w:t xml:space="preserve">decision that cannot be reconstructed cannot be defended.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X4ae2307c3b2afd3e64bcd39edc456ade53541f0"/>
    <w:p>
      <w:pPr>
        <w:pStyle w:val="Heading1"/>
      </w:pPr>
      <w:r>
        <w:t xml:space="preserve">5. Requirements Analysis</w:t>
      </w:r>
    </w:p>
    <w:bookmarkStart w:id="21" w:name="X6773d577b675a9f4b40c74774e865a225340be5"/>
    <w:p>
      <w:pPr>
        <w:pStyle w:val="Heading2"/>
      </w:pPr>
      <w:r>
        <w:t xml:space="preserve">5.1 Elicitation Approach</w:t>
      </w:r>
    </w:p>
    <w:p>
      <w:pPr>
        <w:pStyle w:val="FirstParagraph"/>
      </w:pPr>
      <w:r>
        <w:t xml:space="preserve">With no live client available inside the examination window, requirements were</w:t>
      </w:r>
      <w:r>
        <w:t xml:space="preserve"> </w:t>
      </w:r>
      <w:r>
        <w:t xml:space="preserve">derived from four substitute sources, in descending order of weight: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Documented triage practice.</w:t>
      </w:r>
      <w:r>
        <w:t xml:space="preserve"> </w:t>
      </w:r>
      <w:r>
        <w:t xml:space="preserve">The concept of a red-flag short-circuit —</w:t>
      </w:r>
      <w:r>
        <w:t xml:space="preserve"> </w:t>
      </w:r>
      <w:r>
        <w:t xml:space="preserve">where certain findings bypass scoring entirely — is taken from established</w:t>
      </w:r>
      <w:r>
        <w:t xml:space="preserve"> </w:t>
      </w:r>
      <w:r>
        <w:t xml:space="preserve">emergency-triage practice. The specific rule content here is illustrative and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clinically validated; this is stated in the interface itself.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Problem decomposition.</w:t>
      </w:r>
      <w:r>
        <w:t xml:space="preserve"> </w:t>
      </w:r>
      <w:r>
        <w:t xml:space="preserve">Each consequence in §2 was traced to the</w:t>
      </w:r>
      <w:r>
        <w:t xml:space="preserve"> </w:t>
      </w:r>
      <w:r>
        <w:t xml:space="preserve">requirement that addresses it (§5.2).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Stakeholder role analysis.</w:t>
      </w:r>
      <w:r>
        <w:t xml:space="preserve"> </w:t>
      </w:r>
      <w:r>
        <w:t xml:space="preserve">Each register entry in §4.1 was asked what it</w:t>
      </w:r>
      <w:r>
        <w:t xml:space="preserve"> </w:t>
      </w:r>
      <w:r>
        <w:t xml:space="preserve">must be able to do, producing the user-class actions in the SRS.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Regulatory context.</w:t>
      </w:r>
      <w:r>
        <w:t xml:space="preserve"> </w:t>
      </w:r>
      <w:r>
        <w:t xml:space="preserve">The Ghana Data Protection Act and WCAG 2.1 AA</w:t>
      </w:r>
      <w:r>
        <w:t xml:space="preserve"> </w:t>
      </w:r>
      <w:r>
        <w:t xml:space="preserve">supplied non-functional constraints.</w:t>
      </w:r>
    </w:p>
    <w:p>
      <w:pPr>
        <w:pStyle w:val="FirstParagraph"/>
      </w:pPr>
      <w:r>
        <w:t xml:space="preserve">The weakness of this approach is honestly stated: requirements derived without a</w:t>
      </w:r>
      <w:r>
        <w:t xml:space="preserve"> </w:t>
      </w:r>
      <w:r>
        <w:t xml:space="preserve">real clinician carry the risk that the rule content is plausible rather than</w:t>
      </w:r>
      <w:r>
        <w:t xml:space="preserve"> </w:t>
      </w:r>
      <w:r>
        <w:t xml:space="preserve">correct. This is recorded as a limitation (§17), not glossed over.</w:t>
      </w:r>
    </w:p>
    <w:bookmarkEnd w:id="21"/>
    <w:bookmarkStart w:id="22" w:name="Xc9667864a9361939ba8b6550b7a882434bed6f1"/>
    <w:p>
      <w:pPr>
        <w:pStyle w:val="Heading2"/>
      </w:pPr>
      <w:r>
        <w:t xml:space="preserve">5.2 From Problem to Requirement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 (§2)</w:t>
            </w:r>
          </w:p>
        </w:tc>
        <w:tc>
          <w:tcPr/>
          <w:p>
            <w:pPr>
              <w:pStyle w:val="Compact"/>
            </w:pPr>
            <w:r>
              <w:t xml:space="preserve">Requirement response</w:t>
            </w:r>
          </w:p>
        </w:tc>
        <w:tc>
          <w:tcPr/>
          <w:p>
            <w:pPr>
              <w:pStyle w:val="Compact"/>
            </w:pPr>
            <w:r>
              <w:t xml:space="preserve">Key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Urgency invisible at scheduling</w:t>
            </w:r>
          </w:p>
        </w:tc>
        <w:tc>
          <w:tcPr/>
          <w:p>
            <w:pPr>
              <w:pStyle w:val="Compact"/>
            </w:pPr>
            <w:r>
              <w:t xml:space="preserve">Assess before booking; score and tier every case</w:t>
            </w:r>
          </w:p>
        </w:tc>
        <w:tc>
          <w:tcPr/>
          <w:p>
            <w:pPr>
              <w:pStyle w:val="Compact"/>
            </w:pPr>
            <w:r>
              <w:t xml:space="preserve">FR-2.1 – FR-2.5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Dangerous presentations queued</w:t>
            </w:r>
          </w:p>
        </w:tc>
        <w:tc>
          <w:tcPr/>
          <w:p>
            <w:pPr>
              <w:pStyle w:val="Compact"/>
            </w:pPr>
            <w:r>
              <w:t xml:space="preserve">Red flags short-circuit and suppress booking</w:t>
            </w:r>
          </w:p>
        </w:tc>
        <w:tc>
          <w:tcPr/>
          <w:p>
            <w:pPr>
              <w:pStyle w:val="Compact"/>
            </w:pPr>
            <w:r>
              <w:t xml:space="preserve">FR-2.6, NFR-5, NFR-6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Clinician starts uninformed</w:t>
            </w:r>
          </w:p>
        </w:tc>
        <w:tc>
          <w:tcPr/>
          <w:p>
            <w:pPr>
              <w:pStyle w:val="Compact"/>
            </w:pPr>
            <w:r>
              <w:t xml:space="preserve">Deliver the intake record to the clinician's workspace</w:t>
            </w:r>
          </w:p>
        </w:tc>
        <w:tc>
          <w:tcPr/>
          <w:p>
            <w:pPr>
              <w:pStyle w:val="Compact"/>
            </w:pPr>
            <w:r>
              <w:t xml:space="preserve">FR-5.1 – FR-5.3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Slots double-booked</w:t>
            </w:r>
          </w:p>
        </w:tc>
        <w:tc>
          <w:tcPr/>
          <w:p>
            <w:pPr>
              <w:pStyle w:val="Compact"/>
            </w:pPr>
            <w:r>
              <w:t xml:space="preserve">Bind slots to published hours; make duplication impossible</w:t>
            </w:r>
          </w:p>
        </w:tc>
        <w:tc>
          <w:tcPr/>
          <w:p>
            <w:pPr>
              <w:pStyle w:val="Compact"/>
            </w:pPr>
            <w:r>
              <w:t xml:space="preserve">FR-3.1 – FR-3.6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record of reasoning</w:t>
            </w:r>
          </w:p>
        </w:tc>
        <w:tc>
          <w:tcPr/>
          <w:p>
            <w:pPr>
              <w:pStyle w:val="Compact"/>
            </w:pPr>
            <w:r>
              <w:t xml:space="preserve">Persist every assessment; append an audit row per action</w:t>
            </w:r>
          </w:p>
        </w:tc>
        <w:tc>
          <w:tcPr/>
          <w:p>
            <w:pPr>
              <w:pStyle w:val="Compact"/>
            </w:pPr>
            <w:r>
              <w:t xml:space="preserve">FR-2.8, FR-8.5</w:t>
            </w:r>
          </w:p>
        </w:tc>
      </w:tr>
    </w:tbl>
    <w:bookmarkEnd w:id="22"/>
    <w:bookmarkStart w:id="23" w:name="X90c69bc4ada02e73f7231adbf3c7e04a10e369c"/>
    <w:p>
      <w:pPr>
        <w:pStyle w:val="Heading2"/>
      </w:pPr>
      <w:r>
        <w:t xml:space="preserve">5.3 Prioritisation (MoSCoW)</w:t>
      </w:r>
    </w:p>
    <w:p>
      <w:pPr>
        <w:pStyle w:val="FirstParagraph"/>
      </w:pPr>
      <w:r>
        <w:t xml:space="preserve">Requirements were prioritised against two questions:</w:t>
      </w:r>
      <w:r>
        <w:t xml:space="preserve"> </w:t>
      </w:r>
      <w:r>
        <w:rPr>
          <w:i/>
          <w:iCs/>
        </w:rPr>
        <w:t xml:space="preserve">does patient safety depend</w:t>
      </w:r>
      <w:r>
        <w:rPr>
          <w:i/>
          <w:iCs/>
        </w:rPr>
        <w:t xml:space="preserve"> </w:t>
      </w:r>
      <w:r>
        <w:rPr>
          <w:i/>
          <w:iCs/>
        </w:rPr>
        <w:t xml:space="preserve">on it?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is the system coherent without it?</w:t>
      </w:r>
      <w:r>
        <w:t xml:space="preserve"> </w:t>
      </w:r>
      <w:r>
        <w:t xml:space="preserve">A "yes" to either makes it a</w:t>
      </w:r>
      <w:r>
        <w:t xml:space="preserve"> </w:t>
      </w:r>
      <w:r>
        <w:t xml:space="preserve">Must.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Delivered in this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Delivered where the schedule permitted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Could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First to be dropped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Won't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Explicitly out of scope; listed in</w:t>
            </w:r>
            <w:r>
              <w:t xml:space="preserve"> </w:t>
            </w:r>
            <w:r>
              <w:rPr>
                <w:rStyle w:val="VerbatimChar"/>
              </w:rPr>
              <w:t xml:space="preserve">SRS.docx</w:t>
            </w:r>
            <w:r>
              <w:t xml:space="preserve"> </w:t>
            </w:r>
            <w:r>
              <w:t xml:space="preserve">§4.2</w:t>
            </w:r>
          </w:p>
        </w:tc>
      </w:tr>
    </w:tbl>
    <w:p>
      <w:pPr>
        <w:pStyle w:val="BodyText"/>
      </w:pPr>
      <w:r>
        <w:t xml:space="preserve">Two worked examples show the rule in use.</w:t>
      </w:r>
    </w:p>
    <w:p>
      <w:pPr>
        <w:pStyle w:val="BodyText"/>
      </w:pPr>
      <w:r>
        <w:rPr>
          <w:i/>
          <w:iCs/>
        </w:rPr>
        <w:t xml:space="preserve">FR-2.6 (red-flag suppression) is a Must.</w:t>
      </w:r>
      <w:r>
        <w:t xml:space="preserve"> </w:t>
      </w:r>
      <w:r>
        <w:t xml:space="preserve">A patient with a red flag who is</w:t>
      </w:r>
      <w:r>
        <w:t xml:space="preserve"> </w:t>
      </w:r>
      <w:r>
        <w:t xml:space="preserve">offered a booking may wait at home instead of going to hospital. The failure</w:t>
      </w:r>
      <w:r>
        <w:t xml:space="preserve"> </w:t>
      </w:r>
      <w:r>
        <w:t xml:space="preserve">mode is harm, so no other consideration outranks it.</w:t>
      </w:r>
    </w:p>
    <w:p>
      <w:pPr>
        <w:pStyle w:val="BodyText"/>
      </w:pPr>
      <w:r>
        <w:rPr>
          <w:i/>
          <w:iCs/>
        </w:rPr>
        <w:t xml:space="preserve">FR-7.4 (showing agreement between AI models) is a Could.</w:t>
      </w:r>
      <w:r>
        <w:t xml:space="preserve"> </w:t>
      </w:r>
      <w:r>
        <w:t xml:space="preserve">It improves a</w:t>
      </w:r>
      <w:r>
        <w:t xml:space="preserve"> </w:t>
      </w:r>
      <w:r>
        <w:t xml:space="preserve">clinician's ability to judge a suggestion, but its absence changes nothing about</w:t>
      </w:r>
      <w:r>
        <w:t xml:space="preserve"> </w:t>
      </w:r>
      <w:r>
        <w:t xml:space="preserve">safety or coherence — the clinician still reviews every suggestion before signing.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c5ef97e96ead4e0cba448ea456c80db13cf508c"/>
    <w:p>
      <w:pPr>
        <w:pStyle w:val="Heading1"/>
      </w:pPr>
      <w:r>
        <w:t xml:space="preserve">6. Software Requirements Specification (Summary)</w:t>
      </w:r>
    </w:p>
    <w:p>
      <w:pPr>
        <w:pStyle w:val="FirstParagraph"/>
      </w:pPr>
      <w:r>
        <w:t xml:space="preserve">The complete specification is</w:t>
      </w:r>
      <w:r>
        <w:t xml:space="preserve"> </w:t>
      </w:r>
      <w:r>
        <w:rPr>
          <w:rStyle w:val="VerbatimChar"/>
        </w:rPr>
        <w:t xml:space="preserve">SRS.docx</w:t>
      </w:r>
      <w:r>
        <w:t xml:space="preserve">. It is written as a pre-implementation</w:t>
      </w:r>
      <w:r>
        <w:t xml:space="preserve"> </w:t>
      </w:r>
      <w:r>
        <w:t xml:space="preserve">document: it states what the system</w:t>
      </w:r>
      <w:r>
        <w:t xml:space="preserve"> </w:t>
      </w:r>
      <w:r>
        <w:rPr>
          <w:i/>
          <w:iCs/>
        </w:rPr>
        <w:t xml:space="preserve">shall</w:t>
      </w:r>
      <w:r>
        <w:t xml:space="preserve"> </w:t>
      </w:r>
      <w:r>
        <w:t xml:space="preserve">do, and deliberately contains no</w:t>
      </w:r>
      <w:r>
        <w:t xml:space="preserve"> </w:t>
      </w:r>
      <w:r>
        <w:t xml:space="preserve">report of what was built or tested.</w:t>
      </w:r>
    </w:p>
    <w:p>
      <w:pPr>
        <w:pStyle w:val="BodyText"/>
      </w:pPr>
      <w:r>
        <w:t xml:space="preserve">It defines</w:t>
      </w:r>
      <w:r>
        <w:t xml:space="preserve"> </w:t>
      </w:r>
      <w:r>
        <w:rPr>
          <w:b/>
          <w:bCs/>
        </w:rPr>
        <w:t xml:space="preserve">61 functional requirements</w:t>
      </w:r>
      <w:r>
        <w:t xml:space="preserve"> </w:t>
      </w:r>
      <w:r>
        <w:t xml:space="preserve">across nine groups and</w:t>
      </w:r>
      <w:r>
        <w:t xml:space="preserve"> </w:t>
      </w:r>
      <w:r>
        <w:rPr>
          <w:b/>
          <w:bCs/>
        </w:rPr>
        <w:t xml:space="preserve">24</w:t>
      </w:r>
      <w:r>
        <w:rPr>
          <w:b/>
          <w:bCs/>
        </w:rPr>
        <w:t xml:space="preserve"> </w:t>
      </w:r>
      <w:r>
        <w:rPr>
          <w:b/>
          <w:bCs/>
        </w:rPr>
        <w:t xml:space="preserve">non-functional requirements</w:t>
      </w:r>
      <w:r>
        <w:t xml:space="preserve"> </w:t>
      </w:r>
      <w:r>
        <w:t xml:space="preserve">across six categories, each with a stated</w:t>
      </w:r>
      <w:r>
        <w:t xml:space="preserve"> </w:t>
      </w:r>
      <w:r>
        <w:t xml:space="preserve">verification method.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Account and access management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Symptom triage and safety screening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Clinician availability and scheduling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Clinical workflow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Video consultation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AI-assisted documentation and support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Administration and governance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Notification and enquiry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Performance, safety, security, reliability, usability, maintainability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</w:tbl>
    <w:p>
      <w:pPr>
        <w:pStyle w:val="BodyText"/>
      </w:pPr>
      <w:r>
        <w:t xml:space="preserve">Two requirements are singled out in the SRS as carrying disproportionate weight: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FR-2.6</w:t>
      </w:r>
      <w:r>
        <w:t xml:space="preserve"> </w:t>
      </w:r>
      <w:r>
        <w:t xml:space="preserve">— the red-flag short-circuit. The only safety-critical requirement.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FR-3.6</w:t>
      </w:r>
      <w:r>
        <w:t xml:space="preserve"> </w:t>
      </w:r>
      <w:r>
        <w:t xml:space="preserve">— exactly one appointment may result from concurrent attempts on a</w:t>
      </w:r>
      <w:r>
        <w:t xml:space="preserve"> </w:t>
      </w:r>
      <w:r>
        <w:t xml:space="preserve">single slot, enforced by the database rather than by application logic.</w:t>
      </w:r>
    </w:p>
    <w:p>
      <w:r>
        <w:pict>
          <v:rect style="width:0;height:1.5pt" o:hralign="center" o:hrstd="t" o:hr="t"/>
        </w:pict>
      </w:r>
    </w:p>
    <w:bookmarkEnd w:id="25"/>
    <w:bookmarkStart w:id="31" w:name="X935bbc31bfc6807b7a7fedce470bd982b1db5bd"/>
    <w:p>
      <w:pPr>
        <w:pStyle w:val="Heading1"/>
      </w:pPr>
      <w:r>
        <w:t xml:space="preserve">7. Software Effort Estimation</w:t>
      </w:r>
    </w:p>
    <w:bookmarkStart w:id="26" w:name="X680a8342ea89d9a6e3ac77bd3b5bb4a3f09c942"/>
    <w:p>
      <w:pPr>
        <w:pStyle w:val="Heading2"/>
      </w:pPr>
      <w:r>
        <w:t xml:space="preserve">7.1 Technique Selected, and Why</w:t>
      </w:r>
    </w:p>
    <w:p>
      <w:pPr>
        <w:pStyle w:val="FirstParagraph"/>
      </w:pPr>
      <w:r>
        <w:rPr>
          <w:b/>
          <w:bCs/>
        </w:rPr>
        <w:t xml:space="preserve">Use Case Points (UCP)</w:t>
      </w:r>
      <w:r>
        <w:t xml:space="preserve"> </w:t>
      </w:r>
      <w:r>
        <w:t xml:space="preserve">was selected.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Why not chosen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COCOMO II</w:t>
            </w:r>
          </w:p>
        </w:tc>
        <w:tc>
          <w:tcPr/>
          <w:p>
            <w:pPr>
              <w:pStyle w:val="Compact"/>
            </w:pPr>
            <w:r>
              <w:t xml:space="preserve">Calibrated on lines of code; no reliable size estimate exists before construction, and its industry productivity constants assume a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 Point Analysis</w:t>
            </w:r>
          </w:p>
        </w:tc>
        <w:tc>
          <w:tcPr/>
          <w:p>
            <w:pPr>
              <w:pStyle w:val="Compact"/>
            </w:pPr>
            <w:r>
              <w:t xml:space="preserve">Strong for transaction-heavy data systems, but weakly expressive for interaction-heavy features such as a video consultation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Story points</w:t>
            </w:r>
          </w:p>
        </w:tc>
        <w:tc>
          <w:tcPr/>
          <w:p>
            <w:pPr>
              <w:pStyle w:val="Compact"/>
            </w:pPr>
            <w:r>
              <w:t xml:space="preserve">Relative, not absolute; requires a team velocity that a solo first-time project does not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Expert judgement</w:t>
            </w:r>
          </w:p>
        </w:tc>
        <w:tc>
          <w:tcPr/>
          <w:p>
            <w:pPr>
              <w:pStyle w:val="Compact"/>
            </w:pPr>
            <w:r>
              <w:t xml:space="preserve">No comparable prior project to anchor against</w:t>
            </w:r>
          </w:p>
        </w:tc>
      </w:tr>
    </w:tbl>
    <w:p>
      <w:pPr>
        <w:pStyle w:val="BodyText"/>
      </w:pPr>
      <w:r>
        <w:t xml:space="preserve">UCP was chosen because the requirements were already expressed as role-based</w:t>
      </w:r>
      <w:r>
        <w:t xml:space="preserve"> </w:t>
      </w:r>
      <w:r>
        <w:t xml:space="preserve">interactions, because it accounts explicitly for technical and environmental</w:t>
      </w:r>
      <w:r>
        <w:t xml:space="preserve"> </w:t>
      </w:r>
      <w:r>
        <w:t xml:space="preserve">factors — both unusual here — and because it yields absolute person-hours that</w:t>
      </w:r>
      <w:r>
        <w:t xml:space="preserve"> </w:t>
      </w:r>
      <w:r>
        <w:t xml:space="preserve">can be compared against a fixed 48-hour budget.</w:t>
      </w:r>
    </w:p>
    <w:bookmarkEnd w:id="26"/>
    <w:bookmarkStart w:id="27" w:name="X90d89614d466e5fe05c43b2faed4afd8fd1a73d"/>
    <w:p>
      <w:pPr>
        <w:pStyle w:val="Heading2"/>
      </w:pPr>
      <w:r>
        <w:t xml:space="preserve">7.2 Calculation</w:t>
      </w:r>
    </w:p>
    <w:p>
      <w:pPr>
        <w:pStyle w:val="FirstParagraph"/>
      </w:pPr>
      <w:r>
        <w:rPr>
          <w:b/>
          <w:bCs/>
        </w:rPr>
        <w:t xml:space="preserve">Unadjusted Actor Weight.</w:t>
      </w:r>
      <w:r>
        <w:t xml:space="preserve"> </w:t>
      </w:r>
      <w:r>
        <w:t xml:space="preserve">Three human actors through a graphical interface</w:t>
      </w:r>
      <w:r>
        <w:t xml:space="preserve"> </w:t>
      </w:r>
      <w:r>
        <w:t xml:space="preserve">(complex, weight 3); one external inference API (simple, weight 1).</w:t>
      </w:r>
    </w:p>
    <w:p>
      <w:pPr>
        <w:pStyle w:val="BlockText"/>
      </w:pPr>
      <w:r>
        <w:t xml:space="preserve">UAW = (3 × 3) + (1 × 1) =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Unadjusted Use Case Weight.</w:t>
      </w:r>
      <w:r>
        <w:t xml:space="preserve"> </w:t>
      </w:r>
      <w:r>
        <w:t xml:space="preserve">Twenty use cases classified by transaction count.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Subtotal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Simple</w:t>
            </w:r>
          </w:p>
        </w:tc>
        <w:tc>
          <w:tcPr/>
          <w:p>
            <w:pPr>
              <w:pStyle w:val="Compact"/>
            </w:pPr>
            <w:r>
              <w:t xml:space="preserve">≤ 3 transactions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</w:t>
            </w:r>
          </w:p>
        </w:tc>
        <w:tc>
          <w:tcPr/>
          <w:p>
            <w:pPr>
              <w:pStyle w:val="Compact"/>
            </w:pPr>
            <w:r>
              <w:t xml:space="preserve">4–7 transactions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</w:t>
            </w:r>
          </w:p>
        </w:tc>
        <w:tc>
          <w:tcPr/>
          <w:p>
            <w:pPr>
              <w:pStyle w:val="Compact"/>
            </w:pPr>
            <w:r>
              <w:t xml:space="preserve">&gt; 7 transactions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UUCW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160</w:t>
            </w:r>
          </w:p>
        </w:tc>
      </w:tr>
    </w:tbl>
    <w:p>
      <w:pPr>
        <w:pStyle w:val="BlockText"/>
      </w:pPr>
      <w:r>
        <w:t xml:space="preserve">UUCP = UAW + UUCW = 10 + 160 =</w:t>
      </w:r>
      <w:r>
        <w:t xml:space="preserve"> </w:t>
      </w:r>
      <w:r>
        <w:rPr>
          <w:b/>
          <w:bCs/>
        </w:rPr>
        <w:t xml:space="preserve">170</w:t>
      </w:r>
    </w:p>
    <w:p>
      <w:pPr>
        <w:pStyle w:val="FirstParagraph"/>
      </w:pPr>
      <w:r>
        <w:rPr>
          <w:b/>
          <w:bCs/>
        </w:rPr>
        <w:t xml:space="preserve">Technical Complexity Factor.</w:t>
      </w:r>
      <w:r>
        <w:t xml:space="preserve"> </w:t>
      </w:r>
      <w:r>
        <w:t xml:space="preserve">Thirteen factors rated 0–5. Security (5),</w:t>
      </w:r>
      <w:r>
        <w:t xml:space="preserve"> </w:t>
      </w:r>
      <w:r>
        <w:t xml:space="preserve">usability (5), performance (4) and concurrency (4) rated high; training needs (1)</w:t>
      </w:r>
      <w:r>
        <w:t xml:space="preserve"> </w:t>
      </w:r>
      <w:r>
        <w:t xml:space="preserve">and reusability (2) low.</w:t>
      </w:r>
    </w:p>
    <w:p>
      <w:pPr>
        <w:pStyle w:val="BlockText"/>
      </w:pPr>
      <w:r>
        <w:t xml:space="preserve">TFactor = 44 → TCF = 0.6 + (0.01 × 44) =</w:t>
      </w:r>
      <w:r>
        <w:t xml:space="preserve"> </w:t>
      </w:r>
      <w:r>
        <w:rPr>
          <w:b/>
          <w:bCs/>
        </w:rPr>
        <w:t xml:space="preserve">1.04</w:t>
      </w:r>
    </w:p>
    <w:p>
      <w:pPr>
        <w:pStyle w:val="FirstParagraph"/>
      </w:pPr>
      <w:r>
        <w:rPr>
          <w:b/>
          <w:bCs/>
        </w:rPr>
        <w:t xml:space="preserve">Environmental Complexity Factor.</w:t>
      </w:r>
      <w:r>
        <w:t xml:space="preserve"> </w:t>
      </w:r>
      <w:r>
        <w:t xml:space="preserve">Eight factors. Requirement stability (4) and</w:t>
      </w:r>
      <w:r>
        <w:t xml:space="preserve"> </w:t>
      </w:r>
      <w:r>
        <w:t xml:space="preserve">motivation (5) rated high; process familiarity (3) moderate, reflecting a first</w:t>
      </w:r>
      <w:r>
        <w:t xml:space="preserve"> </w:t>
      </w:r>
      <w:r>
        <w:t xml:space="preserve">formal application of the method.</w:t>
      </w:r>
    </w:p>
    <w:p>
      <w:pPr>
        <w:pStyle w:val="BlockText"/>
      </w:pPr>
      <w:r>
        <w:t xml:space="preserve">EFactor = 24 → ECF = 1.4 − (0.03 × 24) =</w:t>
      </w:r>
      <w:r>
        <w:t xml:space="preserve"> </w:t>
      </w:r>
      <w:r>
        <w:rPr>
          <w:b/>
          <w:bCs/>
        </w:rPr>
        <w:t xml:space="preserve">0.68</w:t>
      </w:r>
    </w:p>
    <w:p>
      <w:pPr>
        <w:pStyle w:val="BlockText"/>
      </w:pPr>
      <w:r>
        <w:rPr>
          <w:b/>
          <w:bCs/>
        </w:rPr>
        <w:t xml:space="preserve">UCP = 170 × 1.04 × 0.68 = 120.2</w:t>
      </w:r>
    </w:p>
    <w:bookmarkEnd w:id="27"/>
    <w:bookmarkStart w:id="28" w:name="Xcfbf39df18dfb6efbf0e5da10ef3b14cde272b2"/>
    <w:p>
      <w:pPr>
        <w:pStyle w:val="Heading2"/>
      </w:pPr>
      <w:r>
        <w:t xml:space="preserve">7.3 Estimated Effort and Duration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Productivity factor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  <w:tc>
          <w:tcPr/>
          <w:p>
            <w:pPr>
              <w:pStyle w:val="Compact"/>
            </w:pPr>
            <w:r>
              <w:t xml:space="preserve">Person-hours</w:t>
            </w:r>
          </w:p>
        </w:tc>
        <w:tc>
          <w:tcPr/>
          <w:p>
            <w:pPr>
              <w:pStyle w:val="Compact"/>
            </w:pPr>
            <w:r>
              <w:t xml:space="preserve">Person-days (8 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h/UCP</w:t>
            </w:r>
          </w:p>
        </w:tc>
        <w:tc>
          <w:tcPr/>
          <w:p>
            <w:pPr>
              <w:pStyle w:val="Compact"/>
            </w:pPr>
            <w:r>
              <w:t xml:space="preserve">Karner's original industry figure</w:t>
            </w:r>
          </w:p>
        </w:tc>
        <w:tc>
          <w:tcPr/>
          <w:p>
            <w:pPr>
              <w:pStyle w:val="Compact"/>
            </w:pPr>
            <w:r>
              <w:t xml:space="preserve">2,404</w:t>
            </w:r>
          </w:p>
        </w:tc>
        <w:tc>
          <w:tcPr/>
          <w:p>
            <w:pPr>
              <w:pStyle w:val="Compact"/>
            </w:pPr>
            <w:r>
              <w:t xml:space="preserve">301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h/UCP</w:t>
            </w:r>
          </w:p>
        </w:tc>
        <w:tc>
          <w:tcPr/>
          <w:p>
            <w:pPr>
              <w:pStyle w:val="Compact"/>
            </w:pPr>
            <w:r>
              <w:t xml:space="preserve">Experienced team, familiar stack</w:t>
            </w:r>
          </w:p>
        </w:tc>
        <w:tc>
          <w:tcPr/>
          <w:p>
            <w:pPr>
              <w:pStyle w:val="Compact"/>
            </w:pPr>
            <w:r>
              <w:t xml:space="preserve">1,803</w:t>
            </w:r>
          </w:p>
        </w:tc>
        <w:tc>
          <w:tcPr/>
          <w:p>
            <w:pPr>
              <w:pStyle w:val="Compac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h/UCP</w:t>
            </w:r>
          </w:p>
        </w:tc>
        <w:tc>
          <w:tcPr/>
          <w:p>
            <w:pPr>
              <w:pStyle w:val="Compact"/>
            </w:pPr>
            <w:r>
              <w:t xml:space="preserve">Aggressive: solo, no coordination, no formal QA</w:t>
            </w:r>
          </w:p>
        </w:tc>
        <w:tc>
          <w:tcPr/>
          <w:p>
            <w:pPr>
              <w:pStyle w:val="Compact"/>
            </w:pPr>
            <w:r>
              <w:t xml:space="preserve">601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Estimated duration at the industry figure: approximately 15 person-months.</w:t>
      </w:r>
    </w:p>
    <w:p>
      <w:pPr>
        <w:pStyle w:val="BodyText"/>
      </w:pPr>
      <w:r>
        <w:rPr>
          <w:b/>
          <w:bCs/>
        </w:rPr>
        <w:t xml:space="preserve">Budget available: 48 hours.</w:t>
      </w:r>
    </w:p>
    <w:p>
      <w:pPr>
        <w:pStyle w:val="BodyText"/>
      </w:pPr>
      <w:r>
        <w:t xml:space="preserve">The shortfall is a factor of</w:t>
      </w:r>
      <w:r>
        <w:t xml:space="preserve"> </w:t>
      </w:r>
      <w:r>
        <w:rPr>
          <w:b/>
          <w:bCs/>
        </w:rPr>
        <w:t xml:space="preserve">50</w:t>
      </w:r>
      <w:r>
        <w:t xml:space="preserve">. This is the single most important number in</w:t>
      </w:r>
      <w:r>
        <w:t xml:space="preserve"> </w:t>
      </w:r>
      <w:r>
        <w:t xml:space="preserve">the project, and it is reported rather than concealed.</w:t>
      </w:r>
    </w:p>
    <w:bookmarkEnd w:id="28"/>
    <w:bookmarkStart w:id="29" w:name="Xc4890f0a723569b13625797e57bf2b10d6f6811"/>
    <w:p>
      <w:pPr>
        <w:pStyle w:val="Heading2"/>
      </w:pPr>
      <w:r>
        <w:t xml:space="preserve">7.4 Assumptions and Constraints</w:t>
      </w:r>
    </w:p>
    <w:p>
      <w:pPr>
        <w:pStyle w:val="FirstParagraph"/>
      </w:pPr>
      <w:r>
        <w:rPr>
          <w:b/>
          <w:bCs/>
        </w:rPr>
        <w:t xml:space="preserve">Assumptions.</w:t>
      </w:r>
      <w:r>
        <w:t xml:space="preserve"> </w:t>
      </w:r>
      <w:r>
        <w:t xml:space="preserve">One developer throughout; requirements stable once baselined;</w:t>
      </w:r>
      <w:r>
        <w:t xml:space="preserve"> </w:t>
      </w:r>
      <w:r>
        <w:t xml:space="preserve">the technology stack is already familiar; no time for formal review cycles;</w:t>
      </w:r>
      <w:r>
        <w:t xml:space="preserve"> </w:t>
      </w:r>
      <w:r>
        <w:t xml:space="preserve">AI pair-programming assistance is available.</w:t>
      </w:r>
    </w:p>
    <w:p>
      <w:pPr>
        <w:pStyle w:val="BodyText"/>
      </w:pPr>
      <w:r>
        <w:rPr>
          <w:b/>
          <w:bCs/>
        </w:rPr>
        <w:t xml:space="preserve">Constraints.</w:t>
      </w:r>
      <w:r>
        <w:t xml:space="preserve"> </w:t>
      </w:r>
      <w:r>
        <w:t xml:space="preserve">48 hours fixed and non-negotiable; one person; no budget, so</w:t>
      </w:r>
      <w:r>
        <w:t xml:space="preserve"> </w:t>
      </w:r>
      <w:r>
        <w:t xml:space="preserve">free tiers only; no payment provider; no clinical advisor; no second developer to</w:t>
      </w:r>
      <w:r>
        <w:t xml:space="preserve"> </w:t>
      </w:r>
      <w:r>
        <w:t xml:space="preserve">review code.</w:t>
      </w:r>
    </w:p>
    <w:bookmarkEnd w:id="29"/>
    <w:bookmarkStart w:id="30" w:name="Xc51378c3c9721c3c9fb3744cc405b8bd14f7652"/>
    <w:p>
      <w:pPr>
        <w:pStyle w:val="Heading2"/>
      </w:pPr>
      <w:r>
        <w:t xml:space="preserve">7.5 How the Estimation Governed Scope</w:t>
      </w:r>
    </w:p>
    <w:p>
      <w:pPr>
        <w:pStyle w:val="FirstParagraph"/>
      </w:pPr>
      <w:r>
        <w:t xml:space="preserve">The estimate did not predict how long the work would take — it demonstrated that</w:t>
      </w:r>
      <w:r>
        <w:t xml:space="preserve"> </w:t>
      </w:r>
      <w:r>
        <w:t xml:space="preserve">the full specification was unbuildable in the window. Its value was in forcing</w:t>
      </w:r>
      <w:r>
        <w:t xml:space="preserve"> </w:t>
      </w:r>
      <w:r>
        <w:t xml:space="preserve">three decisions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code was written.</w:t>
      </w:r>
    </w:p>
    <w:p>
      <w:pPr>
        <w:pStyle w:val="BodyText"/>
      </w:pPr>
      <w:r>
        <w:rPr>
          <w:b/>
          <w:bCs/>
        </w:rPr>
        <w:t xml:space="preserve">Decision 1 — Build Must only, and say so.</w:t>
      </w:r>
      <w:r>
        <w:t xml:space="preserve"> </w:t>
      </w:r>
      <w:r>
        <w:t xml:space="preserve">Everything below Must was moved to</w:t>
      </w:r>
      <w:r>
        <w:t xml:space="preserve"> </w:t>
      </w:r>
      <w:r>
        <w:t xml:space="preserve">a later release and recorded in</w:t>
      </w:r>
      <w:r>
        <w:t xml:space="preserve"> </w:t>
      </w:r>
      <w:r>
        <w:rPr>
          <w:rStyle w:val="VerbatimChar"/>
        </w:rPr>
        <w:t xml:space="preserve">SRS.docx</w:t>
      </w:r>
      <w:r>
        <w:t xml:space="preserve"> </w:t>
      </w:r>
      <w:r>
        <w:t xml:space="preserve">§4.2 as an explicit exclusion, so that</w:t>
      </w:r>
      <w:r>
        <w:t xml:space="preserve"> </w:t>
      </w:r>
      <w:r>
        <w:t xml:space="preserve">absence reads as a decision rather than an oversight.</w:t>
      </w:r>
    </w:p>
    <w:p>
      <w:pPr>
        <w:pStyle w:val="BodyText"/>
      </w:pPr>
      <w:r>
        <w:rPr>
          <w:b/>
          <w:bCs/>
        </w:rPr>
        <w:t xml:space="preserve">Decision 2 — Simulate where integration cost dominates.</w:t>
      </w:r>
      <w:r>
        <w:t xml:space="preserve"> </w:t>
      </w:r>
      <w:r>
        <w:t xml:space="preserve">Payment settlement</w:t>
      </w:r>
      <w:r>
        <w:t xml:space="preserve"> </w:t>
      </w:r>
      <w:r>
        <w:t xml:space="preserve">and message delivery are each small in logic and large in integration: merchant</w:t>
      </w:r>
      <w:r>
        <w:t xml:space="preserve"> </w:t>
      </w:r>
      <w:r>
        <w:t xml:space="preserve">onboarding, gateway credentials, webhook handling, an SMS provider. Both were</w:t>
      </w:r>
      <w:r>
        <w:t xml:space="preserve"> </w:t>
      </w:r>
      <w:r>
        <w:t xml:space="preserve">simulated behind interfaces shaped for the real thing. This bought roughly a day</w:t>
      </w:r>
      <w:r>
        <w:t xml:space="preserve"> </w:t>
      </w:r>
      <w:r>
        <w:t xml:space="preserve">of the 48 hours and is logged as debt TD-11 and TD-12.</w:t>
      </w:r>
    </w:p>
    <w:p>
      <w:pPr>
        <w:pStyle w:val="BodyText"/>
      </w:pPr>
      <w:r>
        <w:rPr>
          <w:b/>
          <w:bCs/>
        </w:rPr>
        <w:t xml:space="preserve">Decision 3 — Spend the saved time on safety, not on breadth.</w:t>
      </w:r>
      <w:r>
        <w:t xml:space="preserve"> </w:t>
      </w:r>
      <w:r>
        <w:t xml:space="preserve">The hours</w:t>
      </w:r>
      <w:r>
        <w:t xml:space="preserve"> </w:t>
      </w:r>
      <w:r>
        <w:t xml:space="preserve">released were spent on the red-flag short-circuit and its tests, and on making</w:t>
      </w:r>
      <w:r>
        <w:t xml:space="preserve"> </w:t>
      </w:r>
      <w:r>
        <w:t xml:space="preserve">double-booking impossible at the database level. Both are places where a defect</w:t>
      </w:r>
      <w:r>
        <w:t xml:space="preserve"> </w:t>
      </w:r>
      <w:r>
        <w:t xml:space="preserve">causes harm rather than annoyance.</w:t>
      </w:r>
    </w:p>
    <w:p>
      <w:pPr>
        <w:pStyle w:val="BodyText"/>
      </w:pPr>
      <w:r>
        <w:rPr>
          <w:b/>
          <w:bCs/>
        </w:rPr>
        <w:t xml:space="preserve">Observed outcome.</w:t>
      </w:r>
      <w:r>
        <w:t xml:space="preserve"> </w:t>
      </w:r>
      <w:r>
        <w:t xml:space="preserve">The delivered scope corresponds to an effective</w:t>
      </w:r>
      <w:r>
        <w:t xml:space="preserve"> </w:t>
      </w:r>
      <w:r>
        <w:t xml:space="preserve">productivity of about</w:t>
      </w:r>
      <w:r>
        <w:t xml:space="preserve"> </w:t>
      </w:r>
      <w:r>
        <w:rPr>
          <w:b/>
          <w:bCs/>
        </w:rPr>
        <w:t xml:space="preserve">0.4 h/UCP</w:t>
      </w:r>
      <w:r>
        <w:t xml:space="preserve">, against the 20 h/UCP industry figure. That</w:t>
      </w:r>
      <w:r>
        <w:t xml:space="preserve"> </w:t>
      </w:r>
      <w:r>
        <w:t xml:space="preserve">ratio is not a claim of fifty-fold personal productivity; it reflects AI-assisted</w:t>
      </w:r>
      <w:r>
        <w:t xml:space="preserve"> </w:t>
      </w:r>
      <w:r>
        <w:t xml:space="preserve">implementation, a familiar stack, the absence of coordination overhead, and — most</w:t>
      </w:r>
      <w:r>
        <w:t xml:space="preserve"> </w:t>
      </w:r>
      <w:r>
        <w:t xml:space="preserve">of all — the deliberate substitution of simulated components and documented debt</w:t>
      </w:r>
      <w:r>
        <w:t xml:space="preserve"> </w:t>
      </w:r>
      <w:r>
        <w:t xml:space="preserve">for production hardening. The debt is the unpaid remainder of the estimate, and</w:t>
      </w:r>
      <w:r>
        <w:t xml:space="preserve"> </w:t>
      </w:r>
      <w:r>
        <w:rPr>
          <w:rStyle w:val="VerbatimChar"/>
        </w:rPr>
        <w:t xml:space="preserve">Technical_Debt_Plan.docx</w:t>
      </w:r>
      <w:r>
        <w:t xml:space="preserve"> </w:t>
      </w:r>
      <w:r>
        <w:t xml:space="preserve">prices it.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X2d925fb4df756ad7d0c44ca6119ff931714be4b"/>
    <w:p>
      <w:pPr>
        <w:pStyle w:val="Heading1"/>
      </w:pPr>
      <w:r>
        <w:t xml:space="preserve">8. System Analysis</w:t>
      </w:r>
    </w:p>
    <w:bookmarkStart w:id="32" w:name="Xe4aefd28f662167ce5afef6097382219760c304"/>
    <w:p>
      <w:pPr>
        <w:pStyle w:val="Heading2"/>
      </w:pPr>
      <w:r>
        <w:t xml:space="preserve">8.1 Analysis of the Existing Process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today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telephones or attends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No assessment occurs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Receptionist offers next free slot</w:t>
            </w:r>
          </w:p>
        </w:tc>
        <w:tc>
          <w:tcPr/>
          <w:p>
            <w:pPr>
              <w:pStyle w:val="Compact"/>
            </w:pPr>
            <w:r>
              <w:t xml:space="preserve">Receptionist</w:t>
            </w:r>
          </w:p>
        </w:tc>
        <w:tc>
          <w:tcPr/>
          <w:p>
            <w:pPr>
              <w:pStyle w:val="Compact"/>
            </w:pPr>
            <w:r>
              <w:t xml:space="preserve">Ordered by arrival; availability held informally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waits</w:t>
            </w:r>
          </w:p>
        </w:tc>
        <w:tc>
          <w:tcPr/>
          <w:p>
            <w:pPr>
              <w:pStyle w:val="Compact"/>
            </w:pPr>
            <w:r>
              <w:t xml:space="preserve">Patient</w:t>
            </w:r>
          </w:p>
        </w:tc>
        <w:tc>
          <w:tcPr/>
          <w:p>
            <w:pPr>
              <w:pStyle w:val="Compact"/>
            </w:pPr>
            <w:r>
              <w:t xml:space="preserve">Position unrelated to clinical need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Clinician takes history</w:t>
            </w:r>
          </w:p>
        </w:tc>
        <w:tc>
          <w:tcPr/>
          <w:p>
            <w:pPr>
              <w:pStyle w:val="Compact"/>
            </w:pPr>
            <w:r>
              <w:t xml:space="preserve">Clinician</w:t>
            </w:r>
          </w:p>
        </w:tc>
        <w:tc>
          <w:tcPr/>
          <w:p>
            <w:pPr>
              <w:pStyle w:val="Compact"/>
            </w:pPr>
            <w:r>
              <w:t xml:space="preserve">History-taking begins at the appointment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Notes filed</w:t>
            </w:r>
          </w:p>
        </w:tc>
        <w:tc>
          <w:tcPr/>
          <w:p>
            <w:pPr>
              <w:pStyle w:val="Compact"/>
            </w:pPr>
            <w:r>
              <w:t xml:space="preserve">Clinician</w:t>
            </w:r>
          </w:p>
        </w:tc>
        <w:tc>
          <w:tcPr/>
          <w:p>
            <w:pPr>
              <w:pStyle w:val="Compact"/>
            </w:pPr>
            <w:r>
              <w:t xml:space="preserve">Prioritisation reasoning not recorded</w:t>
            </w:r>
          </w:p>
        </w:tc>
      </w:tr>
    </w:tbl>
    <w:bookmarkEnd w:id="32"/>
    <w:bookmarkStart w:id="33" w:name="Xd81688edb6d7dfdd7a1513e11d33a8e7a14140c"/>
    <w:p>
      <w:pPr>
        <w:pStyle w:val="Heading2"/>
      </w:pPr>
      <w:r>
        <w:t xml:space="preserve">8.2 Analysis of the Proposed Process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completes guided assessment</w:t>
            </w:r>
          </w:p>
        </w:tc>
        <w:tc>
          <w:tcPr/>
          <w:p>
            <w:pPr>
              <w:pStyle w:val="Compact"/>
            </w:pPr>
            <w:r>
              <w:t xml:space="preserve">Patient / engine</w:t>
            </w:r>
          </w:p>
        </w:tc>
        <w:tc>
          <w:tcPr/>
          <w:p>
            <w:pPr>
              <w:pStyle w:val="Compact"/>
            </w:pPr>
            <w:r>
              <w:t xml:space="preserve">Urgency established before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screens red flags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Dangerous presentations diverted to emergency 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Slots generated from published hours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Availability authoritative; duplication impossible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ordered by tier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Clinician sees the sickest patient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 record shown in consultation</w:t>
            </w:r>
          </w:p>
        </w:tc>
        <w:tc>
          <w:tcPr/>
          <w:p>
            <w:pPr>
              <w:pStyle w:val="Compact"/>
            </w:pPr>
            <w:r>
              <w:t xml:space="preserve">Clinician</w:t>
            </w:r>
          </w:p>
        </w:tc>
        <w:tc>
          <w:tcPr/>
          <w:p>
            <w:pPr>
              <w:pStyle w:val="Compact"/>
            </w:pPr>
            <w:r>
              <w:t xml:space="preserve">Consultation opens informed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action appended to audit trail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Reasoning reconstructable</w:t>
            </w:r>
          </w:p>
        </w:tc>
      </w:tr>
    </w:tbl>
    <w:bookmarkEnd w:id="33"/>
    <w:bookmarkStart w:id="34" w:name="X1dc9aa33a915fa191ba455c7af7eac5a6755408"/>
    <w:p>
      <w:pPr>
        <w:pStyle w:val="Heading2"/>
      </w:pPr>
      <w:r>
        <w:t xml:space="preserve">8.3 Feasibility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</w:t>
            </w:r>
          </w:p>
        </w:tc>
        <w:tc>
          <w:tcPr/>
          <w:p>
            <w:pPr>
              <w:pStyle w:val="Compact"/>
            </w:pPr>
            <w:r>
              <w:t xml:space="preserve">Feasible. No component requires unavailable technology; WebRTC removes the need for a media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Economic</w:t>
            </w:r>
          </w:p>
        </w:tc>
        <w:tc>
          <w:tcPr/>
          <w:p>
            <w:pPr>
              <w:pStyle w:val="Compact"/>
            </w:pPr>
            <w:r>
              <w:t xml:space="preserve">Feasible. Built entirely on free tiers; no licence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</w:t>
            </w:r>
          </w:p>
        </w:tc>
        <w:tc>
          <w:tcPr/>
          <w:p>
            <w:pPr>
              <w:pStyle w:val="Compact"/>
            </w:pPr>
            <w:r>
              <w:t xml:space="preserve">Partly feasible. Depends on clinicians maintaining their published hours (assumption A-3)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Conditional.</w:t>
            </w:r>
            <w:r>
              <w:t xml:space="preserve"> </w:t>
            </w:r>
            <w:r>
              <w:t xml:space="preserve">Not deployable with real patient data until TD-01 and TD-03 are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Feasible only for the reduced scope defined in §7.5</w:t>
            </w:r>
          </w:p>
        </w:tc>
      </w:tr>
    </w:tbl>
    <w:p>
      <w:pPr>
        <w:pStyle w:val="BodyText"/>
      </w:pPr>
      <w:r>
        <w:t xml:space="preserve">The legal row is the significant one and is stated plainly in the deployment</w:t>
      </w:r>
      <w:r>
        <w:t xml:space="preserve"> </w:t>
      </w:r>
      <w:r>
        <w:t xml:space="preserve">notes: the demonstrator must not receive real personal or medical data.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60" w:name="X930244f2334d7af14ff3e7c1f08cdb9317cc513"/>
    <w:p>
      <w:pPr>
        <w:pStyle w:val="Heading1"/>
      </w:pPr>
      <w:r>
        <w:t xml:space="preserve">9. System Design</w:t>
      </w:r>
    </w:p>
    <w:p>
      <w:pPr>
        <w:pStyle w:val="FirstParagraph"/>
      </w:pPr>
      <w:r>
        <w:t xml:space="preserve">Eight diagrams were produced. All are in</w:t>
      </w:r>
      <w:r>
        <w:t xml:space="preserve"> </w:t>
      </w:r>
      <w:r>
        <w:rPr>
          <w:rStyle w:val="VerbatimChar"/>
        </w:rPr>
        <w:t xml:space="preserve">Supporting_Files/images/</w:t>
      </w:r>
      <w:r>
        <w:t xml:space="preserve">, with editable</w:t>
      </w:r>
      <w:r>
        <w:t xml:space="preserve"> </w:t>
      </w:r>
      <w:r>
        <w:t xml:space="preserve">Mermaid sources and mermaid.live links in</w:t>
      </w:r>
      <w:r>
        <w:t xml:space="preserve"> </w:t>
      </w:r>
      <w:r>
        <w:rPr>
          <w:rStyle w:val="VerbatimChar"/>
        </w:rPr>
        <w:t xml:space="preserve">Supporting_Files/diagrams/</w:t>
      </w:r>
      <w:r>
        <w:t xml:space="preserve">.</w:t>
      </w:r>
    </w:p>
    <w:p>
      <w:pPr>
        <w:pStyle w:val="BodyText"/>
      </w:pPr>
      <w:r>
        <w:t xml:space="preserve">Five are reproduced below. Three supporting views — the class diagram, the</w:t>
      </w:r>
      <w:r>
        <w:t xml:space="preserve"> </w:t>
      </w:r>
      <w:r>
        <w:t xml:space="preserve">component/deployment diagram and the data-flow diagram — are referenced rather</w:t>
      </w:r>
      <w:r>
        <w:t xml:space="preserve"> </w:t>
      </w:r>
      <w:r>
        <w:t xml:space="preserve">than embedded, to keep this document within its page budget. No diagram is</w:t>
      </w:r>
      <w:r>
        <w:t xml:space="preserve"> </w:t>
      </w:r>
      <w:r>
        <w:t xml:space="preserve">reproduced in any other document.</w:t>
      </w:r>
    </w:p>
    <w:bookmarkStart w:id="39" w:name="X7e94d85ad4dfa925fd0b9eda544c767ba3863b1"/>
    <w:p>
      <w:pPr>
        <w:pStyle w:val="Heading2"/>
      </w:pPr>
      <w:r>
        <w:t xml:space="preserve">9.1 System Architecture</w:t>
      </w:r>
    </w:p>
    <w:p>
      <w:pPr>
        <w:pStyle w:val="FirstParagraph"/>
      </w:pPr>
      <w:r>
        <w:drawing>
          <wp:inline>
            <wp:extent cx="5334000" cy="2669963"/>
            <wp:effectExtent b="0" l="0" r="0" t="0"/>
            <wp:docPr descr="System architecture" title="" id="37" name="Picture"/>
            <a:graphic>
              <a:graphicData uri="http://schemas.openxmlformats.org/drawingml/2006/picture">
                <pic:pic>
                  <pic:nvPicPr>
                    <pic:cNvPr descr="images/01-system-architectur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9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three-tier arrangement inside one deployable unit. The browser holds</w:t>
      </w:r>
      <w:r>
        <w:t xml:space="preserve"> </w:t>
      </w:r>
      <w:r>
        <w:t xml:space="preserve">presentation and the WebRTC peer connection; serverless route handlers hold</w:t>
      </w:r>
      <w:r>
        <w:t xml:space="preserve"> </w:t>
      </w:r>
      <w:r>
        <w:t xml:space="preserve">application logic and are the only component that touches the database; managed</w:t>
      </w:r>
      <w:r>
        <w:t xml:space="preserve"> </w:t>
      </w:r>
      <w:r>
        <w:t xml:space="preserve">PostgreSQL is the system of record.</w:t>
      </w:r>
    </w:p>
    <w:p>
      <w:pPr>
        <w:pStyle w:val="BodyText"/>
      </w:pPr>
      <w:r>
        <w:t xml:space="preserve">Two design rules are visible in the diagram and matter more than the boxes: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rule engine has no outbound dependency.</w:t>
      </w:r>
      <w:r>
        <w:t xml:space="preserve"> </w:t>
      </w:r>
      <w:r>
        <w:t xml:space="preserve">Triage is pure computation</w:t>
      </w:r>
      <w:r>
        <w:t xml:space="preserve"> </w:t>
      </w:r>
      <w:r>
        <w:t xml:space="preserve">over rule data. It cannot fail because a network call failed (FR-2.12).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Inference is on a side branch.</w:t>
      </w:r>
      <w:r>
        <w:t xml:space="preserve"> </w:t>
      </w:r>
      <w:r>
        <w:t xml:space="preserve">The inference API touches only advisory</w:t>
      </w:r>
      <w:r>
        <w:t xml:space="preserve"> </w:t>
      </w:r>
      <w:r>
        <w:t xml:space="preserve">features. No clinical or scheduling path passes through it (NFR-16).</w:t>
      </w:r>
    </w:p>
    <w:bookmarkEnd w:id="39"/>
    <w:bookmarkStart w:id="43" w:name="X4e27ab3a0486fbc3154596be59bcefea1576a9f"/>
    <w:p>
      <w:pPr>
        <w:pStyle w:val="Heading2"/>
      </w:pPr>
      <w:r>
        <w:t xml:space="preserve">9.2 Use Case Diagram</w:t>
      </w:r>
    </w:p>
    <w:p>
      <w:pPr>
        <w:pStyle w:val="FirstParagraph"/>
      </w:pPr>
      <w:r>
        <w:drawing>
          <wp:inline>
            <wp:extent cx="5334000" cy="7695776"/>
            <wp:effectExtent b="0" l="0" r="0" t="0"/>
            <wp:docPr descr="Use case diagram" title="" id="41" name="Picture"/>
            <a:graphic>
              <a:graphicData uri="http://schemas.openxmlformats.org/drawingml/2006/picture">
                <pic:pic>
                  <pic:nvPicPr>
                    <pic:cNvPr descr="images/02-use-cas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9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Three human actors and one system actor across the twenty use cases counted in</w:t>
      </w:r>
      <w:r>
        <w:t xml:space="preserve"> </w:t>
      </w:r>
      <w:r>
        <w:t xml:space="preserve">§7.2. The</w:t>
      </w:r>
      <w:r>
        <w:t xml:space="preserve"> </w:t>
      </w:r>
      <w:r>
        <w:rPr>
          <w:rStyle w:val="VerbatimChar"/>
        </w:rPr>
        <w:t xml:space="preserve">«extend»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Submit Triage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Emergency Redirect</w:t>
      </w:r>
      <w:r>
        <w:t xml:space="preserve"> </w:t>
      </w:r>
      <w:r>
        <w:t xml:space="preserve">is the</w:t>
      </w:r>
      <w:r>
        <w:t xml:space="preserve"> </w:t>
      </w:r>
      <w:r>
        <w:t xml:space="preserve">diagrammatic form of FR-2.6: it is an alternative path that terminates the flow,</w:t>
      </w:r>
      <w:r>
        <w:t xml:space="preserve"> </w:t>
      </w:r>
      <w:r>
        <w:t xml:space="preserve">not a decoration on the normal path.</w:t>
      </w:r>
    </w:p>
    <w:bookmarkEnd w:id="43"/>
    <w:bookmarkStart w:id="47" w:name="Xeebc3b67c682cbc5ce44ed0ad3124f679da890b"/>
    <w:p>
      <w:pPr>
        <w:pStyle w:val="Heading2"/>
      </w:pPr>
      <w:r>
        <w:t xml:space="preserve">9.3 Entity–Relationship Diagram</w:t>
      </w:r>
    </w:p>
    <w:p>
      <w:pPr>
        <w:pStyle w:val="FirstParagraph"/>
      </w:pPr>
      <w:r>
        <w:drawing>
          <wp:inline>
            <wp:extent cx="5334000" cy="4462780"/>
            <wp:effectExtent b="0" l="0" r="0" t="0"/>
            <wp:docPr descr="Entity–relationship diagram" title="" id="45" name="Picture"/>
            <a:graphic>
              <a:graphicData uri="http://schemas.openxmlformats.org/drawingml/2006/picture">
                <pic:pic>
                  <pic:nvPicPr>
                    <pic:cNvPr descr="images/03-er-diagra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Eleven entities. Three features of the model deserve comment.</w:t>
      </w:r>
    </w:p>
    <w:p>
      <w:pPr>
        <w:pStyle w:val="BodyText"/>
      </w:pPr>
      <w:r>
        <w:rPr>
          <w:rStyle w:val="VerbatimChar"/>
          <w:b/>
          <w:bCs/>
        </w:rPr>
        <w:t xml:space="preserve">appointments.slot_key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"&lt;date&gt;_&lt;start_time&gt;"</w:t>
      </w:r>
      <w:r>
        <w:t xml:space="preserve"> </w:t>
      </w:r>
      <w:r>
        <w:t xml:space="preserve">while an appointment</w:t>
      </w:r>
      <w:r>
        <w:t xml:space="preserve"> </w:t>
      </w:r>
      <w:r>
        <w:t xml:space="preserve">occupies a slot, and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once cancelled. A unique constraint on</w:t>
      </w:r>
      <w:r>
        <w:t xml:space="preserve"> </w:t>
      </w:r>
      <w:r>
        <w:rPr>
          <w:rStyle w:val="VerbatimChar"/>
        </w:rPr>
        <w:t xml:space="preserve">(doctor_id, slot_key)</w:t>
      </w:r>
      <w:r>
        <w:t xml:space="preserve"> </w:t>
      </w:r>
      <w:r>
        <w:t xml:space="preserve">makes a duplicate booking impossible; because PostgreSQL</w:t>
      </w:r>
      <w:r>
        <w:t xml:space="preserve"> </w:t>
      </w:r>
      <w:r>
        <w:t xml:space="preserve">permits many</w:t>
      </w:r>
      <w:r>
        <w:t xml:space="preserve"> </w:t>
      </w:r>
      <w:r>
        <w:rPr>
          <w:rStyle w:val="VerbatimChar"/>
        </w:rPr>
        <w:t xml:space="preserve">NULL</w:t>
      </w:r>
      <w:r>
        <w:t xml:space="preserve">s in a unique index, cancellation genuinely releases the slot.</w:t>
      </w:r>
      <w:r>
        <w:t xml:space="preserve"> </w:t>
      </w:r>
      <w:r>
        <w:t xml:space="preserve">This is how FR-3.6 is met in the database rather than in application code.</w:t>
      </w:r>
    </w:p>
    <w:p>
      <w:pPr>
        <w:pStyle w:val="BodyText"/>
      </w:pPr>
      <w:r>
        <w:rPr>
          <w:rStyle w:val="VerbatimChar"/>
          <w:b/>
          <w:bCs/>
        </w:rPr>
        <w:t xml:space="preserve">room_signals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room_presence</w:t>
      </w:r>
      <w:r>
        <w:t xml:space="preserve"> </w:t>
      </w:r>
      <w:r>
        <w:t xml:space="preserve">carry WebRTC offer/answer/ICE exchange and</w:t>
      </w:r>
      <w:r>
        <w:t xml:space="preserve"> </w:t>
      </w:r>
      <w:r>
        <w:t xml:space="preserve">participant heartbeats. Using the database as the signalling channel removes the</w:t>
      </w:r>
      <w:r>
        <w:t xml:space="preserve"> </w:t>
      </w:r>
      <w:r>
        <w:t xml:space="preserve">need for a websocket server that serverless hosting would not sustain.</w:t>
      </w:r>
    </w:p>
    <w:p>
      <w:pPr>
        <w:pStyle w:val="BodyText"/>
      </w:pPr>
      <w:r>
        <w:rPr>
          <w:rStyle w:val="VerbatimChar"/>
          <w:b/>
          <w:bCs/>
        </w:rPr>
        <w:t xml:space="preserve">audit_logs</w:t>
      </w:r>
      <w:r>
        <w:t xml:space="preserve"> </w:t>
      </w:r>
      <w:r>
        <w:t xml:space="preserve">has no update or delete path in the application.</w:t>
      </w:r>
    </w:p>
    <w:bookmarkEnd w:id="47"/>
    <w:bookmarkStart w:id="48" w:name="X084034747faeac3623734114a22b06e7256a47d"/>
    <w:p>
      <w:pPr>
        <w:pStyle w:val="Heading2"/>
      </w:pPr>
      <w:r>
        <w:t xml:space="preserve">9.4 Class Diagram</w:t>
      </w:r>
    </w:p>
    <w:p>
      <w:pPr>
        <w:pStyle w:val="BlockText"/>
      </w:pPr>
      <w:r>
        <w:rPr>
          <w:b/>
          <w:bCs/>
        </w:rPr>
        <w:t xml:space="preserve">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Supporting_Files/images/04-class-diagram.png</w:t>
      </w:r>
      <w:r>
        <w:rPr>
          <w:b/>
          <w:bCs/>
        </w:rPr>
        <w:t xml:space="preserve">.</w:t>
      </w:r>
    </w:p>
    <w:p>
      <w:pPr>
        <w:pStyle w:val="FirstParagraph"/>
      </w:pPr>
      <w:r>
        <w:t xml:space="preserve">Domain types, the rule engine and the service modules. The engine is a pure</w:t>
      </w:r>
      <w:r>
        <w:t xml:space="preserve"> </w:t>
      </w:r>
      <w:r>
        <w:t xml:space="preserve">function of</w:t>
      </w:r>
      <w:r>
        <w:t xml:space="preserve"> </w:t>
      </w:r>
      <w:r>
        <w:rPr>
          <w:rStyle w:val="VerbatimChar"/>
        </w:rPr>
        <w:t xml:space="preserve">(TriageInput, DynamicTriageRule[]) → TriageResult</w:t>
      </w:r>
      <w:r>
        <w:t xml:space="preserve">, which is what</w:t>
      </w:r>
      <w:r>
        <w:t xml:space="preserve"> </w:t>
      </w:r>
      <w:r>
        <w:t xml:space="preserve">makes FR-2.9 (identical output for identical input) testable without a database.</w:t>
      </w:r>
    </w:p>
    <w:bookmarkEnd w:id="48"/>
    <w:bookmarkStart w:id="52" w:name="Xf29481739590083414efbd4d9a92ef12a543a22"/>
    <w:p>
      <w:pPr>
        <w:pStyle w:val="Heading2"/>
      </w:pPr>
      <w:r>
        <w:t xml:space="preserve">9.5 Sequence Diagram — Triage to Confirmed Booking</w:t>
      </w:r>
    </w:p>
    <w:p>
      <w:pPr>
        <w:pStyle w:val="FirstParagraph"/>
      </w:pPr>
      <w:r>
        <w:drawing>
          <wp:inline>
            <wp:extent cx="5334000" cy="3393016"/>
            <wp:effectExtent b="0" l="0" r="0" t="0"/>
            <wp:docPr descr="Sequence diagram" title="" id="50" name="Picture"/>
            <a:graphic>
              <a:graphicData uri="http://schemas.openxmlformats.org/drawingml/2006/picture">
                <pic:pic>
                  <pic:nvPicPr>
                    <pic:cNvPr descr="images/05-sequence-triage-booking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3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primary path. The interaction worth tracing is the booking write: the server</w:t>
      </w:r>
      <w:r>
        <w:t xml:space="preserve"> </w:t>
      </w:r>
      <w:r>
        <w:t xml:space="preserve">re-checks availability, then performs the insert inside a transaction that also</w:t>
      </w:r>
      <w:r>
        <w:t xml:space="preserve"> </w:t>
      </w:r>
      <w:r>
        <w:t xml:space="preserve">writes the clinician's notification and the audit row. A failure at any point</w:t>
      </w:r>
      <w:r>
        <w:t xml:space="preserve"> </w:t>
      </w:r>
      <w:r>
        <w:t xml:space="preserve">leaves none of the three.</w:t>
      </w:r>
    </w:p>
    <w:bookmarkEnd w:id="52"/>
    <w:bookmarkStart w:id="56" w:name="X7de2191d1a7b988b583f2292ec28ae3085c54d9"/>
    <w:p>
      <w:pPr>
        <w:pStyle w:val="Heading2"/>
      </w:pPr>
      <w:r>
        <w:t xml:space="preserve">9.6 Activity Diagram — Triage Evaluation</w:t>
      </w:r>
    </w:p>
    <w:p>
      <w:pPr>
        <w:pStyle w:val="FirstParagraph"/>
      </w:pPr>
      <w:r>
        <w:drawing>
          <wp:inline>
            <wp:extent cx="5334000" cy="19569853"/>
            <wp:effectExtent b="0" l="0" r="0" t="0"/>
            <wp:docPr descr="Activity diagram" title="" id="54" name="Picture"/>
            <a:graphic>
              <a:graphicData uri="http://schemas.openxmlformats.org/drawingml/2006/picture">
                <pic:pic>
                  <pic:nvPicPr>
                    <pic:cNvPr descr="images/06-activity-triag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69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decision structure of the engine, showing the red-flag branch terminating</w:t>
      </w:r>
      <w:r>
        <w:t xml:space="preserve"> </w:t>
      </w:r>
      <w:r>
        <w:t xml:space="preserve">before the scoring path is reached.</w:t>
      </w:r>
    </w:p>
    <w:bookmarkEnd w:id="56"/>
    <w:bookmarkStart w:id="57" w:name="X1a72158e908b92fe1d9bb8c399b68874612be8e"/>
    <w:p>
      <w:pPr>
        <w:pStyle w:val="Heading2"/>
      </w:pPr>
      <w:r>
        <w:t xml:space="preserve">9.7 Component and Deployment Diagram</w:t>
      </w:r>
    </w:p>
    <w:p>
      <w:pPr>
        <w:pStyle w:val="BlockText"/>
      </w:pPr>
      <w:r>
        <w:rPr>
          <w:b/>
          <w:bCs/>
        </w:rPr>
        <w:t xml:space="preserve">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Supporting_Files/images/07-component-deployment.png</w:t>
      </w:r>
      <w:r>
        <w:rPr>
          <w:b/>
          <w:bCs/>
        </w:rPr>
        <w:t xml:space="preserve">.</w:t>
      </w:r>
    </w:p>
    <w:p>
      <w:pPr>
        <w:pStyle w:val="FirstParagraph"/>
      </w:pPr>
      <w:r>
        <w:t xml:space="preserve">Components and their deployment onto the serverless platform, the managed</w:t>
      </w:r>
      <w:r>
        <w:t xml:space="preserve"> </w:t>
      </w:r>
      <w:r>
        <w:t xml:space="preserve">database and the browser.</w:t>
      </w:r>
    </w:p>
    <w:bookmarkEnd w:id="57"/>
    <w:bookmarkStart w:id="58" w:name="X7bbc908a79f3b6fc322897464105ea8123d0681"/>
    <w:p>
      <w:pPr>
        <w:pStyle w:val="Heading2"/>
      </w:pPr>
      <w:r>
        <w:t xml:space="preserve">9.8 Data-Flow Diagram (Level 1)</w:t>
      </w:r>
    </w:p>
    <w:p>
      <w:pPr>
        <w:pStyle w:val="BlockText"/>
      </w:pPr>
      <w:r>
        <w:rPr>
          <w:b/>
          <w:bCs/>
        </w:rPr>
        <w:t xml:space="preserve">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Supporting_Files/images/08-dfd-level1.png</w:t>
      </w:r>
      <w:r>
        <w:rPr>
          <w:b/>
          <w:bCs/>
        </w:rPr>
        <w:t xml:space="preserve">.</w:t>
      </w:r>
    </w:p>
    <w:p>
      <w:pPr>
        <w:pStyle w:val="FirstParagraph"/>
      </w:pPr>
      <w:r>
        <w:t xml:space="preserve">Five processes and six data stores, showing where personal health information</w:t>
      </w:r>
      <w:r>
        <w:t xml:space="preserve"> </w:t>
      </w:r>
      <w:r>
        <w:t xml:space="preserve">comes to rest — the basis of the data-protection assessment in §8.3.</w:t>
      </w:r>
    </w:p>
    <w:bookmarkEnd w:id="58"/>
    <w:bookmarkStart w:id="59" w:name="Xe53c1006f340757c231d683be7d2a63cbfd36dc"/>
    <w:p>
      <w:pPr>
        <w:pStyle w:val="Heading2"/>
      </w:pPr>
      <w:r>
        <w:t xml:space="preserve">9.9 Interface Design</w:t>
      </w:r>
    </w:p>
    <w:p>
      <w:pPr>
        <w:pStyle w:val="FirstParagraph"/>
      </w:pPr>
      <w:r>
        <w:t xml:space="preserve">No separate wireframes were produced. The interface was designed directly in</w:t>
      </w:r>
      <w:r>
        <w:t xml:space="preserve"> </w:t>
      </w:r>
      <w:r>
        <w:t xml:space="preserve">code against a written design system, and the running application is the</w:t>
      </w:r>
      <w:r>
        <w:t xml:space="preserve"> </w:t>
      </w:r>
      <w:r>
        <w:t xml:space="preserve">artefact. The system defines semantic colour tokens, a serif/sans type pairing,</w:t>
      </w:r>
      <w:r>
        <w:t xml:space="preserve"> </w:t>
      </w:r>
      <w:r>
        <w:t xml:space="preserve">a 4/8-pixel spacing scale, and one focus treatment applied everywhere.</w:t>
      </w:r>
    </w:p>
    <w:p>
      <w:pPr>
        <w:pStyle w:val="BodyText"/>
      </w:pPr>
      <w:r>
        <w:t xml:space="preserve">Three interface rules follow from requirements rather than taste: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EMERGENCY result presents no booking control anywhere on the view</w:t>
            </w:r>
          </w:p>
        </w:tc>
        <w:tc>
          <w:tcPr/>
          <w:p>
            <w:pPr>
              <w:pStyle w:val="Compact"/>
            </w:pPr>
            <w:r>
              <w:t xml:space="preserve">FR-2.6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 never carries meaning alone; an icon or text accompanies it</w:t>
            </w:r>
          </w:p>
        </w:tc>
        <w:tc>
          <w:tcPr/>
          <w:p>
            <w:pPr>
              <w:pStyle w:val="Compact"/>
            </w:pPr>
            <w:r>
              <w:t xml:space="preserve">UI-6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field has a visible label and its error message sits beside it</w:t>
            </w:r>
          </w:p>
        </w:tc>
        <w:tc>
          <w:tcPr/>
          <w:p>
            <w:pPr>
              <w:pStyle w:val="Compact"/>
            </w:pPr>
            <w:r>
              <w:t xml:space="preserve">UI-4, UI-5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Xdfbc5c21e9155ca25ae314540a6a2a83a5c29b0"/>
    <w:p>
      <w:pPr>
        <w:pStyle w:val="Heading1"/>
      </w:pPr>
      <w:r>
        <w:t xml:space="preserve">10. Implementation</w:t>
      </w:r>
    </w:p>
    <w:bookmarkStart w:id="61" w:name="Xf4487c9daf7149c56d007c743815f2adfa0a24b"/>
    <w:p>
      <w:pPr>
        <w:pStyle w:val="Heading2"/>
      </w:pPr>
      <w:r>
        <w:t xml:space="preserve">10.1 Technology Stack and Justification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15 (App Router), React 19</w:t>
            </w:r>
          </w:p>
        </w:tc>
        <w:tc>
          <w:tcPr/>
          <w:p>
            <w:pPr>
              <w:pStyle w:val="Compact"/>
            </w:pPr>
            <w:r>
              <w:t xml:space="preserve">One project for interface and API; first-class serverless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 5.7</w:t>
            </w:r>
          </w:p>
        </w:tc>
        <w:tc>
          <w:tcPr/>
          <w:p>
            <w:pPr>
              <w:pStyle w:val="Compact"/>
            </w:pPr>
            <w:r>
              <w:t xml:space="preserve">Compile-time checking substitutes for the code review a solo project lacks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Bootstrap 5.3 + a hand-written CSS layer</w:t>
            </w:r>
          </w:p>
        </w:tc>
        <w:tc>
          <w:tcPr/>
          <w:p>
            <w:pPr>
              <w:pStyle w:val="Compact"/>
            </w:pPr>
            <w:r>
              <w:t xml:space="preserve">Accessible primitives out of the box; no build step to configure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5.22</w:t>
            </w:r>
          </w:p>
        </w:tc>
        <w:tc>
          <w:tcPr/>
          <w:p>
            <w:pPr>
              <w:pStyle w:val="Compact"/>
            </w:pPr>
            <w:r>
              <w:t xml:space="preserve">Declarative schema, generated types, reproducible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(Neon)</w:t>
            </w:r>
          </w:p>
        </w:tc>
        <w:tc>
          <w:tcPr/>
          <w:p>
            <w:pPr>
              <w:pStyle w:val="Compact"/>
            </w:pPr>
            <w:r>
              <w:t xml:space="preserve">Free managed tier; partial-unique-index behaviour needed for</w:t>
            </w:r>
            <w:r>
              <w:t xml:space="preserve"> </w:t>
            </w:r>
            <w:r>
              <w:rPr>
                <w:rStyle w:val="VerbatimChar"/>
              </w:rPr>
              <w:t xml:space="preserve">slot_key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Native WebRTC</w:t>
            </w:r>
          </w:p>
        </w:tc>
        <w:tc>
          <w:tcPr/>
          <w:p>
            <w:pPr>
              <w:pStyle w:val="Compact"/>
            </w:pPr>
            <w:r>
              <w:t xml:space="preserve">Peer-to-peer; no media server to run or pay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</w:t>
            </w:r>
          </w:p>
        </w:tc>
        <w:tc>
          <w:tcPr/>
          <w:p>
            <w:pPr>
              <w:pStyle w:val="Compact"/>
            </w:pPr>
            <w:r>
              <w:t xml:space="preserve">Ollama Cloud</w:t>
            </w:r>
          </w:p>
        </w:tc>
        <w:tc>
          <w:tcPr/>
          <w:p>
            <w:pPr>
              <w:pStyle w:val="Compact"/>
            </w:pPr>
            <w:r>
              <w:t xml:space="preserve">Multiple models behind one API; advisory use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Zero-configuration deployment from the repository</w:t>
            </w:r>
          </w:p>
        </w:tc>
      </w:tr>
    </w:tbl>
    <w:bookmarkEnd w:id="61"/>
    <w:bookmarkStart w:id="62" w:name="X69b75632c6f3b545ca620e2377e503a09de8801"/>
    <w:p>
      <w:pPr>
        <w:pStyle w:val="Heading2"/>
      </w:pPr>
      <w:r>
        <w:t xml:space="preserve">10.2 Triage Engine</w:t>
      </w:r>
    </w:p>
    <w:p>
      <w:pPr>
        <w:pStyle w:val="FirstParagraph"/>
      </w:pPr>
      <w:r>
        <w:t xml:space="preserve">Rules are data, not branches. Each carries a condition, weight, priority and</w:t>
      </w:r>
      <w:r>
        <w:t xml:space="preserve"> </w:t>
      </w:r>
      <w:r>
        <w:t xml:space="preserve">active flag, so a rule can be changed without touching evaluation logic (NFR-22).</w:t>
      </w:r>
    </w:p>
    <w:p>
      <w:pPr>
        <w:pStyle w:val="BodyText"/>
      </w:pPr>
      <w:r>
        <w:t xml:space="preserve">Evaluation is ordered: critical red flags are tested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and terminate the</w:t>
      </w:r>
      <w:r>
        <w:t xml:space="preserve"> </w:t>
      </w:r>
      <w:r>
        <w:t xml:space="preserve">computation at score 95 with tier EMERGENCY. Only if no critical flag is present</w:t>
      </w:r>
      <w:r>
        <w:t xml:space="preserve"> </w:t>
      </w:r>
      <w:r>
        <w:t xml:space="preserve">does scoring proceed — severity × 8, plus an onset bonus, plus 10 per remaining</w:t>
      </w:r>
      <w:r>
        <w:t xml:space="preserve"> </w:t>
      </w:r>
      <w:r>
        <w:t xml:space="preserve">red flag, capped at 100 — followed by banding at the fixed boundaries.</w:t>
      </w:r>
    </w:p>
    <w:p>
      <w:pPr>
        <w:pStyle w:val="BodyText"/>
      </w:pPr>
      <w:r>
        <w:t xml:space="preserve">The engine is a pure function with no I/O, which is why its 22 unit tests need</w:t>
      </w:r>
      <w:r>
        <w:t xml:space="preserve"> </w:t>
      </w:r>
      <w:r>
        <w:t xml:space="preserve">no database and run in under a second.</w:t>
      </w:r>
    </w:p>
    <w:bookmarkEnd w:id="62"/>
    <w:bookmarkStart w:id="63" w:name="Xc50d1e6718b96032cb37c9c847cabd0cb63b408"/>
    <w:p>
      <w:pPr>
        <w:pStyle w:val="Heading2"/>
      </w:pPr>
      <w:r>
        <w:t xml:space="preserve">10.3 Scheduling and the Concurrency Guarantee</w:t>
      </w:r>
    </w:p>
    <w:p>
      <w:pPr>
        <w:pStyle w:val="FirstParagraph"/>
      </w:pPr>
      <w:r>
        <w:t xml:space="preserve">Bookable slots are generated from the clinician's published consulting hours by</w:t>
      </w:r>
      <w:r>
        <w:t xml:space="preserve"> </w:t>
      </w:r>
      <w:r>
        <w:t xml:space="preserve">one shared module used by three callers: the clinician's availability manager,</w:t>
      </w:r>
      <w:r>
        <w:t xml:space="preserve"> </w:t>
      </w:r>
      <w:r>
        <w:t xml:space="preserve">the patient's booking picker, and the server-side booking guard. Before this</w:t>
      </w:r>
      <w:r>
        <w:t xml:space="preserve"> </w:t>
      </w:r>
      <w:r>
        <w:t xml:space="preserve">module existed, those three disagreed with one another.</w:t>
      </w:r>
    </w:p>
    <w:p>
      <w:pPr>
        <w:pStyle w:val="BodyText"/>
      </w:pPr>
      <w:r>
        <w:t xml:space="preserve">The concurrency guarantee has two layers. The server re-checks availability and</w:t>
      </w:r>
      <w:r>
        <w:t xml:space="preserve"> </w:t>
      </w:r>
      <w:r>
        <w:t xml:space="preserve">performs the insert inside a transaction; underneath, the unique constraint on</w:t>
      </w:r>
      <w:r>
        <w:t xml:space="preserve"> </w:t>
      </w:r>
      <w:r>
        <w:rPr>
          <w:rStyle w:val="VerbatimChar"/>
        </w:rPr>
        <w:t xml:space="preserve">(doctor_id, slot_key)</w:t>
      </w:r>
      <w:r>
        <w:t xml:space="preserve"> </w:t>
      </w:r>
      <w:r>
        <w:t xml:space="preserve">makes a duplicate physically impossible. The first layer</w:t>
      </w:r>
      <w:r>
        <w:t xml:space="preserve"> </w:t>
      </w:r>
      <w:r>
        <w:t xml:space="preserve">produces a friendly message; the second is what makes the guarantee true.</w:t>
      </w:r>
    </w:p>
    <w:bookmarkEnd w:id="63"/>
    <w:bookmarkStart w:id="64" w:name="Xa84523cb287008229c2ec175805afc81e32eb42"/>
    <w:p>
      <w:pPr>
        <w:pStyle w:val="Heading2"/>
      </w:pPr>
      <w:r>
        <w:t xml:space="preserve">10.4 Consultation Room</w:t>
      </w:r>
    </w:p>
    <w:p>
      <w:pPr>
        <w:pStyle w:val="FirstParagraph"/>
      </w:pPr>
      <w:r>
        <w:t xml:space="preserve">Media is peer-to-peer WebRTC. Signalling — offer, answer, ICE candidates, chat —</w:t>
      </w:r>
      <w:r>
        <w:t xml:space="preserve"> </w:t>
      </w:r>
      <w:r>
        <w:t xml:space="preserve">is exchanged by polling a database-backed room endpoint, which avoids a</w:t>
      </w:r>
      <w:r>
        <w:t xml:space="preserve"> </w:t>
      </w:r>
      <w:r>
        <w:t xml:space="preserve">websocket server that the hosting model would not support.</w:t>
      </w:r>
    </w:p>
    <w:p>
      <w:pPr>
        <w:pStyle w:val="BodyText"/>
      </w:pPr>
      <w:r>
        <w:t xml:space="preserve">Two implementation decisions came from defects found in testing. Camera and</w:t>
      </w:r>
      <w:r>
        <w:t xml:space="preserve"> </w:t>
      </w:r>
      <w:r>
        <w:t xml:space="preserve">microphone are acquired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, because requesting both together meant</w:t>
      </w:r>
      <w:r>
        <w:t xml:space="preserve"> </w:t>
      </w:r>
      <w:r>
        <w:t xml:space="preserve">a camera already held by another application also cost the user their microphone.</w:t>
      </w:r>
      <w:r>
        <w:t xml:space="preserve"> </w:t>
      </w:r>
      <w:r>
        <w:t xml:space="preserve">The remote participant's audio plays through a dedicated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element rather</w:t>
      </w:r>
      <w:r>
        <w:t xml:space="preserve"> </w:t>
      </w:r>
      <w:r>
        <w:t xml:space="preserve">than the video element, because browsers refuse to autoplay a video carrying</w:t>
      </w:r>
      <w:r>
        <w:t xml:space="preserve"> </w:t>
      </w:r>
      <w:r>
        <w:t xml:space="preserve">sound — the earlier arrangement silenced the consultation to keep the picture.</w:t>
      </w:r>
    </w:p>
    <w:bookmarkEnd w:id="64"/>
    <w:bookmarkStart w:id="65" w:name="X82a79a729f10d3d0668a2b60a3b12d36a15d988"/>
    <w:p>
      <w:pPr>
        <w:pStyle w:val="Heading2"/>
      </w:pPr>
      <w:r>
        <w:t xml:space="preserve">10.5 Security Controls Implemented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storage</w:t>
            </w:r>
          </w:p>
        </w:tc>
        <w:tc>
          <w:tcPr/>
          <w:p>
            <w:pPr>
              <w:pStyle w:val="Compact"/>
            </w:pPr>
            <w:r>
              <w:t xml:space="preserve">bcrypt, cost 10; never returned by any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policy</w:t>
            </w:r>
          </w:p>
        </w:tc>
        <w:tc>
          <w:tcPr/>
          <w:p>
            <w:pPr>
              <w:pStyle w:val="Compact"/>
            </w:pPr>
            <w:r>
              <w:t xml:space="preserve">≥ 8 characters with upper, lower, digit and symbol; enforced on client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HTTPS 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t xml:space="preserve">Server-side validation on every write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variables only; automated scanner plus a pre-commit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integrity</w:t>
            </w:r>
          </w:p>
        </w:tc>
        <w:tc>
          <w:tcPr/>
          <w:p>
            <w:pPr>
              <w:pStyle w:val="Compact"/>
            </w:pPr>
            <w:r>
              <w:t xml:space="preserve">Multi-record writes wrapped in transactions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exposure</w:t>
            </w:r>
          </w:p>
        </w:tc>
        <w:tc>
          <w:tcPr/>
          <w:p>
            <w:pPr>
              <w:pStyle w:val="Compact"/>
            </w:pPr>
            <w:r>
              <w:t xml:space="preserve">The consultation endpoint returns the patient brief only to the clinician's poll</w:t>
            </w:r>
          </w:p>
        </w:tc>
      </w:tr>
    </w:tbl>
    <w:p>
      <w:pPr>
        <w:pStyle w:val="BodyText"/>
      </w:pPr>
      <w:r>
        <w:t xml:space="preserve">Controls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implemented are listed in §17 and priced in</w:t>
      </w:r>
      <w:r>
        <w:t xml:space="preserve"> </w:t>
      </w:r>
      <w:r>
        <w:rPr>
          <w:rStyle w:val="VerbatimChar"/>
        </w:rPr>
        <w:t xml:space="preserve">Technical_Debt_Plan.docx</w:t>
      </w:r>
      <w:r>
        <w:t xml:space="preserve">. The most significant is that API routes do not verify</w:t>
      </w:r>
      <w:r>
        <w:t xml:space="preserve"> </w:t>
      </w:r>
      <w:r>
        <w:t xml:space="preserve">the caller's identity server-side.</w:t>
      </w:r>
    </w:p>
    <w:bookmarkEnd w:id="65"/>
    <w:bookmarkStart w:id="66" w:name="Xf7240c4078e2ed9078c0e7ee9f0c55f05a2cb60"/>
    <w:p>
      <w:pPr>
        <w:pStyle w:val="Heading2"/>
      </w:pPr>
      <w:r>
        <w:t xml:space="preserve">10.6 Scale of the Delivered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pages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route handlers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components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entities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TypeScript/TSX</w:t>
            </w:r>
          </w:p>
        </w:tc>
        <w:tc>
          <w:tcPr/>
          <w:p>
            <w:pPr>
              <w:pStyle w:val="Compact"/>
            </w:pPr>
            <w:r>
              <w:t xml:space="preserve">≈ 16,800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44, all passing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68" w:name="X1bd62b8c66c4dbcfab151d3fe777ed177d0847c"/>
    <w:p>
      <w:pPr>
        <w:pStyle w:val="Heading1"/>
      </w:pPr>
      <w:r>
        <w:t xml:space="preserve">11. Testing (Summary)</w:t>
      </w:r>
    </w:p>
    <w:p>
      <w:pPr>
        <w:pStyle w:val="FirstParagraph"/>
      </w:pPr>
      <w:r>
        <w:t xml:space="preserve">Full detail, including every test case with expected and actual results, is in</w:t>
      </w:r>
      <w:r>
        <w:t xml:space="preserve"> </w:t>
      </w:r>
      <w:r>
        <w:rPr>
          <w:rStyle w:val="VerbatimChar"/>
        </w:rPr>
        <w:t xml:space="preserve">Testing_Report.docx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44 automated tests over the rule engine, scheduling arithmetic and note composition</w:t>
            </w:r>
          </w:p>
        </w:tc>
        <w:tc>
          <w:tcPr/>
          <w:p>
            <w:pPr>
              <w:pStyle w:val="Compact"/>
            </w:pPr>
            <w:r>
              <w:t xml:space="preserve">44 / 44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across the codebase</w:t>
            </w:r>
          </w:p>
        </w:tc>
        <w:tc>
          <w:tcPr/>
          <w:p>
            <w:pPr>
              <w:pStyle w:val="Compact"/>
            </w:pPr>
            <w:r>
              <w:t xml:space="preserve">0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API routes exercised against the live database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End-to-end journeys per role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Acceptance</w:t>
            </w:r>
          </w:p>
        </w:tc>
        <w:tc>
          <w:tcPr/>
          <w:p>
            <w:pPr>
              <w:pStyle w:val="Compact"/>
            </w:pPr>
            <w:r>
              <w:t xml:space="preserve">Scenario walkthroughs against the acceptance criteria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30,000-evaluation latency harness (NFR-1)</w:t>
            </w:r>
          </w:p>
        </w:tc>
        <w:tc>
          <w:tcPr/>
          <w:p>
            <w:pPr>
              <w:pStyle w:val="Compact"/>
            </w:pPr>
            <w:r>
              <w:t xml:space="preserve">Within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9 probes against the deployment</w:t>
            </w:r>
          </w:p>
        </w:tc>
        <w:tc>
          <w:tcPr/>
          <w:p>
            <w:pPr>
              <w:pStyle w:val="Compact"/>
            </w:pPr>
            <w:r>
              <w:t xml:space="preserve">4 pass, 5 fail as expected</w:t>
            </w:r>
          </w:p>
        </w:tc>
      </w:tr>
    </w:tbl>
    <w:p>
      <w:pPr>
        <w:pStyle w:val="BodyText"/>
      </w:pPr>
      <w:r>
        <w:t xml:space="preserve">The five failing security probes are not surprises. They are the evidence for</w:t>
      </w:r>
      <w:r>
        <w:t xml:space="preserve"> </w:t>
      </w:r>
      <w:r>
        <w:t xml:space="preserve">defects D-01 and D-05 — the absence of server-side authorisation — and they are</w:t>
      </w:r>
      <w:r>
        <w:t xml:space="preserve"> </w:t>
      </w:r>
      <w:r>
        <w:t xml:space="preserve">reported as failures rather than adjusted away.</w:t>
      </w:r>
    </w:p>
    <w:p>
      <w:r>
        <w:pict>
          <v:rect style="width:0;height:1.5pt" o:hralign="center" o:hrstd="t" o:hr="t"/>
        </w:pict>
      </w:r>
    </w:p>
    <w:bookmarkEnd w:id="68"/>
    <w:bookmarkStart w:id="69" w:name="X3743a641f86fbf87b5308864b6fbe9526b0c67d"/>
    <w:p>
      <w:pPr>
        <w:pStyle w:val="Heading1"/>
      </w:pPr>
      <w:r>
        <w:t xml:space="preserve">12. Technical Debt (Summary)</w:t>
      </w:r>
    </w:p>
    <w:p>
      <w:pPr>
        <w:pStyle w:val="FirstParagraph"/>
      </w:pPr>
      <w:r>
        <w:t xml:space="preserve">Full detail is in</w:t>
      </w:r>
      <w:r>
        <w:t xml:space="preserve"> </w:t>
      </w:r>
      <w:r>
        <w:rPr>
          <w:rStyle w:val="VerbatimChar"/>
        </w:rPr>
        <w:t xml:space="preserve">Technical_Debt_Plan.docx</w:t>
      </w:r>
      <w:r>
        <w:t xml:space="preserve">, which records each item as</w:t>
      </w:r>
      <w:r>
        <w:t xml:space="preserve"> </w:t>
      </w:r>
      <w:r>
        <w:rPr>
          <w:b/>
          <w:bCs/>
        </w:rPr>
        <w:t xml:space="preserve">Debt → Cause → Impact → Priority → Proposed Resolution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— immediate attention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Blocks any real-patient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for resolution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Accepted now; dated for a named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Acceptable temporarily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Proportionate to a demonstrator; revisit if scope grows</w:t>
            </w:r>
          </w:p>
        </w:tc>
      </w:tr>
    </w:tbl>
    <w:p>
      <w:pPr>
        <w:pStyle w:val="BodyText"/>
      </w:pPr>
      <w:r>
        <w:t xml:space="preserve">The three critical items are the absence of server-side authorisation (TD-01),</w:t>
      </w:r>
      <w:r>
        <w:t xml:space="preserve"> </w:t>
      </w:r>
      <w:r>
        <w:t xml:space="preserve">credentials remaining in Git history (TD-02), and unsigned session state in</w:t>
      </w:r>
      <w:r>
        <w:t xml:space="preserve"> </w:t>
      </w:r>
      <w:r>
        <w:t xml:space="preserve">browser storage (TD-03). Together they are why §8.3 records the legal</w:t>
      </w:r>
      <w:r>
        <w:t xml:space="preserve"> </w:t>
      </w:r>
      <w:r>
        <w:t xml:space="preserve">feasibility as conditional.</w:t>
      </w:r>
    </w:p>
    <w:p>
      <w:pPr>
        <w:pStyle w:val="BodyText"/>
      </w:pPr>
      <w:r>
        <w:t xml:space="preserve">Debt closed during the examination period is listed in</w:t>
      </w:r>
      <w:r>
        <w:t xml:space="preserve"> </w:t>
      </w:r>
      <w:r>
        <w:rPr>
          <w:rStyle w:val="VerbatimChar"/>
        </w:rPr>
        <w:t xml:space="preserve">Deployment_and_Source_Links.txt</w:t>
      </w:r>
      <w:r>
        <w:t xml:space="preserve"> </w:t>
      </w:r>
      <w:r>
        <w:t xml:space="preserve">§7.</w:t>
      </w:r>
    </w:p>
    <w:p>
      <w:r>
        <w:pict>
          <v:rect style="width:0;height:1.5pt" o:hralign="center" o:hrstd="t" o:hr="t"/>
        </w:pict>
      </w:r>
    </w:p>
    <w:bookmarkEnd w:id="69"/>
    <w:bookmarkStart w:id="71" w:name="X56d932ab20fc00a9be5e487b44d84c67414b499"/>
    <w:p>
      <w:pPr>
        <w:pStyle w:val="Heading1"/>
      </w:pPr>
      <w:r>
        <w:t xml:space="preserve">13. Deployment</w:t>
      </w:r>
    </w:p>
    <w:p>
      <w:pPr>
        <w:pStyle w:val="FirstParagraph"/>
      </w:pPr>
      <w:r>
        <w:t xml:space="preserve">The application is deployed on Vercel and builds automatically from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The database is managed PostgreSQL on Neon, reached over TLS with the</w:t>
      </w:r>
      <w:r>
        <w:t xml:space="preserve"> </w:t>
      </w:r>
      <w:r>
        <w:t xml:space="preserve">connection string supplied as an environment variable.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application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https://pulsetriage.vercel.app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Administrator entry point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https://pulsetriage.vercel.app/admin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https://github.com/NketiaAsubontengErnest/pulsetriage</w:t>
              </w:r>
            </w:hyperlink>
          </w:p>
        </w:tc>
      </w:tr>
    </w:tbl>
    <w:p>
      <w:pPr>
        <w:pStyle w:val="BodyText"/>
      </w:pPr>
      <w:r>
        <w:t xml:space="preserve">Credentials for every role, a suggested twelve-minute walkthrough, and</w:t>
      </w:r>
      <w:r>
        <w:t xml:space="preserve"> </w:t>
      </w:r>
      <w:r>
        <w:t xml:space="preserve">instructions for reproducing the build locally are in</w:t>
      </w:r>
      <w:r>
        <w:t xml:space="preserve"> </w:t>
      </w:r>
      <w:r>
        <w:rPr>
          <w:rStyle w:val="VerbatimChar"/>
        </w:rPr>
        <w:t xml:space="preserve">Deployment_and_Source_Links.txt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Deployment verification.</w:t>
      </w:r>
      <w:r>
        <w:t xml:space="preserve"> </w:t>
      </w:r>
      <w:r>
        <w:t xml:space="preserve">After each deployment the following are checked:</w:t>
      </w:r>
      <w:r>
        <w:t xml:space="preserve"> </w:t>
      </w:r>
      <w:r>
        <w:t xml:space="preserve">the application responds; authentication succeeds for each role; a triage</w:t>
      </w:r>
      <w:r>
        <w:t xml:space="preserve"> </w:t>
      </w:r>
      <w:r>
        <w:t xml:space="preserve">evaluation returns the expected tier; a booking writes to the database; and</w:t>
      </w:r>
      <w:r>
        <w:t xml:space="preserve"> </w:t>
      </w:r>
      <w:r>
        <w:rPr>
          <w:rStyle w:val="VerbatimChar"/>
        </w:rPr>
        <w:t xml:space="preserve">GET /api/ai/health</w:t>
      </w:r>
      <w:r>
        <w:t xml:space="preserve"> </w:t>
      </w:r>
      <w:r>
        <w:t xml:space="preserve">reports whether the inference layer is reachable. That last</w:t>
      </w:r>
      <w:r>
        <w:t xml:space="preserve"> </w:t>
      </w:r>
      <w:r>
        <w:t xml:space="preserve">endpoint exists because the most likely production failure is a missing</w:t>
      </w:r>
      <w:r>
        <w:t xml:space="preserve"> </w:t>
      </w:r>
      <w:r>
        <w:t xml:space="preserve">environment variable, and a diagnostic that says so is worth more than a generic</w:t>
      </w:r>
      <w:r>
        <w:t xml:space="preserve"> </w:t>
      </w:r>
      <w:r>
        <w:t xml:space="preserve">error.</w:t>
      </w:r>
    </w:p>
    <w:p>
      <w:r>
        <w:pict>
          <v:rect style="width:0;height:1.5pt" o:hralign="center" o:hrstd="t" o:hr="t"/>
        </w:pict>
      </w:r>
    </w:p>
    <w:bookmarkEnd w:id="71"/>
    <w:bookmarkStart w:id="72" w:name="X9bea7c4c12a05dd112a532ec186ea165f603cbc"/>
    <w:p>
      <w:pPr>
        <w:pStyle w:val="Heading1"/>
      </w:pPr>
      <w:r>
        <w:t xml:space="preserve">14. User Manual (Summary)</w:t>
      </w:r>
    </w:p>
    <w:p>
      <w:pPr>
        <w:pStyle w:val="FirstParagraph"/>
      </w:pPr>
      <w:r>
        <w:rPr>
          <w:rStyle w:val="VerbatimChar"/>
        </w:rPr>
        <w:t xml:space="preserve">User_Manual.docx</w:t>
      </w:r>
      <w:r>
        <w:t xml:space="preserve"> </w:t>
      </w:r>
      <w:r>
        <w:t xml:space="preserve">is the operating guide, written for readers who have not used</w:t>
      </w:r>
      <w:r>
        <w:t xml:space="preserve"> </w:t>
      </w:r>
      <w:r>
        <w:t xml:space="preserve">the system before. It covers signing in, the patient journey from assessment to</w:t>
      </w:r>
      <w:r>
        <w:t xml:space="preserve"> </w:t>
      </w:r>
      <w:r>
        <w:t xml:space="preserve">consultation notes, the clinician's queue and consultation workspace,</w:t>
      </w:r>
      <w:r>
        <w:t xml:space="preserve"> </w:t>
      </w:r>
      <w:r>
        <w:t xml:space="preserve">administrative functions, and a troubleshooting section.</w:t>
      </w:r>
    </w:p>
    <w:p>
      <w:pPr>
        <w:pStyle w:val="BodyText"/>
      </w:pPr>
      <w:r>
        <w:t xml:space="preserve">It is deliberately free of implementation detail: it explains what the reader</w:t>
      </w:r>
      <w:r>
        <w:t xml:space="preserve"> </w:t>
      </w:r>
      <w:r>
        <w:t xml:space="preserve">sees and what to do next, not how the system works internally.</w:t>
      </w:r>
    </w:p>
    <w:p>
      <w:r>
        <w:pict>
          <v:rect style="width:0;height:1.5pt" o:hralign="center" o:hrstd="t" o:hr="t"/>
        </w:pict>
      </w:r>
    </w:p>
    <w:bookmarkEnd w:id="72"/>
    <w:bookmarkStart w:id="77" w:name="X8e2d21a0814b574b5234dd36d6774d3a49de216"/>
    <w:p>
      <w:pPr>
        <w:pStyle w:val="Heading1"/>
      </w:pPr>
      <w:r>
        <w:t xml:space="preserve">15. Maintenance Strategy</w:t>
      </w:r>
    </w:p>
    <w:bookmarkStart w:id="73" w:name="X861bbef90d17bd894465f2bd1cd28e45d898551"/>
    <w:p>
      <w:pPr>
        <w:pStyle w:val="Heading2"/>
      </w:pPr>
      <w:r>
        <w:t xml:space="preserve">15.1 The Four Maintenance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covers here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Target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</w:t>
            </w:r>
          </w:p>
        </w:tc>
        <w:tc>
          <w:tcPr/>
          <w:p>
            <w:pPr>
              <w:pStyle w:val="Compact"/>
            </w:pPr>
            <w:r>
              <w:t xml:space="preserve">Defects in delivered behaviour</w:t>
            </w:r>
          </w:p>
        </w:tc>
        <w:tc>
          <w:tcPr/>
          <w:p>
            <w:pPr>
              <w:pStyle w:val="Compact"/>
            </w:pPr>
            <w:r>
              <w:t xml:space="preserve">Report or monitoring</w:t>
            </w:r>
          </w:p>
        </w:tc>
        <w:tc>
          <w:tcPr/>
          <w:p>
            <w:pPr>
              <w:pStyle w:val="Compact"/>
            </w:pPr>
            <w:r>
              <w:t xml:space="preserve">Safety-related: same day. Others: next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</w:t>
            </w:r>
          </w:p>
        </w:tc>
        <w:tc>
          <w:tcPr/>
          <w:p>
            <w:pPr>
              <w:pStyle w:val="Compact"/>
            </w:pPr>
            <w:r>
              <w:t xml:space="preserve">Change in an external dependency — hosting, database, browser APIs, inference provider</w:t>
            </w:r>
          </w:p>
        </w:tc>
        <w:tc>
          <w:tcPr/>
          <w:p>
            <w:pPr>
              <w:pStyle w:val="Compact"/>
            </w:pPr>
            <w:r>
              <w:t xml:space="preserve">Provider notice</w:t>
            </w:r>
          </w:p>
        </w:tc>
        <w:tc>
          <w:tcPr/>
          <w:p>
            <w:pPr>
              <w:pStyle w:val="Compact"/>
            </w:pPr>
            <w:r>
              <w:t xml:space="preserve">Before the deprecation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Perfective</w:t>
            </w:r>
          </w:p>
        </w:tc>
        <w:tc>
          <w:tcPr/>
          <w:p>
            <w:pPr>
              <w:pStyle w:val="Compact"/>
            </w:pPr>
            <w:r>
              <w:t xml:space="preserve">Improvements to what already works: performance, usability, refactoring</w:t>
            </w:r>
          </w:p>
        </w:tc>
        <w:tc>
          <w:tcPr/>
          <w:p>
            <w:pPr>
              <w:pStyle w:val="Compact"/>
            </w:pPr>
            <w:r>
              <w:t xml:space="preserve">Metrics or feedback</w:t>
            </w:r>
          </w:p>
        </w:tc>
        <w:tc>
          <w:tcPr/>
          <w:p>
            <w:pPr>
              <w:pStyle w:val="Compact"/>
            </w:pPr>
            <w:r>
              <w:t xml:space="preserve">Scheduled into releases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Preventive</w:t>
            </w:r>
          </w:p>
        </w:tc>
        <w:tc>
          <w:tcPr/>
          <w:p>
            <w:pPr>
              <w:pStyle w:val="Compact"/>
            </w:pPr>
            <w:r>
              <w:t xml:space="preserve">Work that stops future faults: dependency updates, debt repayment, test coverage</w:t>
            </w:r>
          </w:p>
        </w:tc>
        <w:tc>
          <w:tcPr/>
          <w:p>
            <w:pPr>
              <w:pStyle w:val="Compact"/>
            </w:pPr>
            <w:r>
              <w:t xml:space="preserve">Monthly cycle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</w:tbl>
    <w:bookmarkEnd w:id="73"/>
    <w:bookmarkStart w:id="74" w:name="X4260b9e0935376253678660965f7579b4604170"/>
    <w:p>
      <w:pPr>
        <w:pStyle w:val="Heading2"/>
      </w:pPr>
      <w:r>
        <w:t xml:space="preserve">15.2 Routine Activities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Cadence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Automated tests and type check on every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Review audit trail and error logs for anomalies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Dependency audit; patch security advisories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Review the debt register; re-prioritise; accessibility spot-check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Annually</w:t>
            </w:r>
          </w:p>
        </w:tc>
        <w:tc>
          <w:tcPr/>
          <w:p>
            <w:pPr>
              <w:pStyle w:val="Compact"/>
            </w:pPr>
            <w:r>
              <w:t xml:space="preserve">Review the clinical rule content with a qualified advisor</w:t>
            </w:r>
          </w:p>
        </w:tc>
      </w:tr>
    </w:tbl>
    <w:bookmarkEnd w:id="74"/>
    <w:bookmarkStart w:id="75" w:name="X6416abcc294d340c61438a8020be8bfe1bab773"/>
    <w:p>
      <w:pPr>
        <w:pStyle w:val="Heading2"/>
      </w:pPr>
      <w:r>
        <w:t xml:space="preserve">15.3 Security and Dependency Maintenance</w:t>
      </w:r>
    </w:p>
    <w:p>
      <w:pPr>
        <w:pStyle w:val="FirstParagraph"/>
      </w:pPr>
      <w:r>
        <w:t xml:space="preserve">Security is treated as continuous rather than periodic. The secret scanner runs</w:t>
      </w:r>
      <w:r>
        <w:t xml:space="preserve"> </w:t>
      </w:r>
      <w:r>
        <w:t xml:space="preserve">in the pre-commit hook, so a credential cannot be committed without deliberate</w:t>
      </w:r>
      <w:r>
        <w:t xml:space="preserve"> </w:t>
      </w:r>
      <w:r>
        <w:t xml:space="preserve">override. Dependency advisories are reviewed monthly, and any advisory rated high</w:t>
      </w:r>
      <w:r>
        <w:t xml:space="preserve"> </w:t>
      </w:r>
      <w:r>
        <w:t xml:space="preserve">or critical is patched out of cycle.</w:t>
      </w:r>
    </w:p>
    <w:p>
      <w:pPr>
        <w:pStyle w:val="BodyText"/>
      </w:pPr>
      <w:r>
        <w:t xml:space="preserve">The annual clinical review in the table above is the most important recurring</w:t>
      </w:r>
      <w:r>
        <w:t xml:space="preserve"> </w:t>
      </w:r>
      <w:r>
        <w:t xml:space="preserve">item and the easiest to neglect: rule content that is merely plausible ages</w:t>
      </w:r>
      <w:r>
        <w:t xml:space="preserve"> </w:t>
      </w:r>
      <w:r>
        <w:t xml:space="preserve">badly, and nothing in the software will report that it has.</w:t>
      </w:r>
    </w:p>
    <w:bookmarkEnd w:id="75"/>
    <w:bookmarkStart w:id="76" w:name="Xc5bee3290bc2343194cacacc1f9c50dd8c2becd"/>
    <w:p>
      <w:pPr>
        <w:pStyle w:val="Heading2"/>
      </w:pPr>
      <w:r>
        <w:t xml:space="preserve">15.4 Scalability Path</w:t>
      </w:r>
    </w:p>
    <w:p>
      <w:pPr>
        <w:pStyle w:val="FirstParagraph"/>
      </w:pPr>
      <w:r>
        <w:t xml:space="preserve">The current arrangement — serverless functions, one managed database, WebRTC</w:t>
      </w:r>
      <w:r>
        <w:t xml:space="preserve"> </w:t>
      </w:r>
      <w:r>
        <w:t xml:space="preserve">peer-to-peer media — scales horizontally on the application tier without change,</w:t>
      </w:r>
      <w:r>
        <w:t xml:space="preserve"> </w:t>
      </w:r>
      <w:r>
        <w:t xml:space="preserve">because the application holds no server-side session state. The two limits that</w:t>
      </w:r>
      <w:r>
        <w:t xml:space="preserve"> </w:t>
      </w:r>
      <w:r>
        <w:t xml:space="preserve">would be reached first are database connection exhaustion under serverless fan-out</w:t>
      </w:r>
      <w:r>
        <w:t xml:space="preserve"> </w:t>
      </w:r>
      <w:r>
        <w:t xml:space="preserve">(addressed by connection pooling) and the polling-based signalling channel</w:t>
      </w:r>
      <w:r>
        <w:t xml:space="preserve"> </w:t>
      </w:r>
      <w:r>
        <w:t xml:space="preserve">(addressed by moving to a managed real-time service). Neither is near at</w:t>
      </w:r>
      <w:r>
        <w:t xml:space="preserve"> </w:t>
      </w:r>
      <w:r>
        <w:t xml:space="preserve">demonstration scale.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848a67cb8905fccc7a40a0765238d78822c7b7"/>
    <w:p>
      <w:pPr>
        <w:pStyle w:val="Heading1"/>
      </w:pPr>
      <w:r>
        <w:t xml:space="preserve">16. Future Evolution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Make it safe to hold real data</w:t>
            </w:r>
          </w:p>
        </w:tc>
        <w:tc>
          <w:tcPr/>
          <w:p>
            <w:pPr>
              <w:pStyle w:val="Compact"/>
            </w:pPr>
            <w:r>
              <w:t xml:space="preserve">Server-side authorisation on every route (TD-01); signed, expiring sessions (TD-03); credential rotation and Git history purge (TD-02); rate limiting on authentication and inference (TD-17)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Make it operationally real</w:t>
            </w:r>
          </w:p>
        </w:tc>
        <w:tc>
          <w:tcPr/>
          <w:p>
            <w:pPr>
              <w:pStyle w:val="Compact"/>
            </w:pPr>
            <w:r>
              <w:t xml:space="preserve">Live payment provider; e-mail and SMS delivery; scheduled reminder dispatch; persisted administrator rule edits (TD-04)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Make it defensible</w:t>
            </w:r>
          </w:p>
        </w:tc>
        <w:tc>
          <w:tcPr/>
          <w:p>
            <w:pPr>
              <w:pStyle w:val="Compact"/>
            </w:pPr>
            <w:r>
              <w:t xml:space="preserve">Independent WCAG 2.1 AA audit; clinical validation of rule content; comprehensive PHI read auditing (TD-08); decimal money type (TD-14)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Extend the clinical model</w:t>
            </w:r>
          </w:p>
        </w:tc>
        <w:tc>
          <w:tcPr/>
          <w:p>
            <w:pPr>
              <w:pStyle w:val="Compact"/>
            </w:pPr>
            <w:r>
              <w:t xml:space="preserve">Multi-clinic tenancy; clinician-to-clinician referral; outcome analytics comparing assigned tier against clinical outcome</w:t>
            </w:r>
          </w:p>
        </w:tc>
      </w:tr>
    </w:tbl>
    <w:p>
      <w:pPr>
        <w:pStyle w:val="BodyText"/>
      </w:pPr>
      <w:r>
        <w:t xml:space="preserve">The v1.3 outcome analytics deserve emphasis. The system currently assumes its</w:t>
      </w:r>
      <w:r>
        <w:t xml:space="preserve"> </w:t>
      </w:r>
      <w:r>
        <w:t xml:space="preserve">tiers are correct. Measuring assigned tier against actual outcome is the only way</w:t>
      </w:r>
      <w:r>
        <w:t xml:space="preserve"> </w:t>
      </w:r>
      <w:r>
        <w:t xml:space="preserve">to discover whether the triage model is right, and until that exists every claim</w:t>
      </w:r>
      <w:r>
        <w:t xml:space="preserve"> </w:t>
      </w:r>
      <w:r>
        <w:t xml:space="preserve">about its accuracy is unevidenced.</w:t>
      </w:r>
    </w:p>
    <w:p>
      <w:pPr>
        <w:pStyle w:val="BodyText"/>
      </w:pPr>
      <w:r>
        <w:t xml:space="preserve">A full technical-debt repayment schedule, mapping each item to one of these</w:t>
      </w:r>
      <w:r>
        <w:t xml:space="preserve"> </w:t>
      </w:r>
      <w:r>
        <w:t xml:space="preserve">releases, is in</w:t>
      </w:r>
      <w:r>
        <w:t xml:space="preserve"> </w:t>
      </w:r>
      <w:r>
        <w:rPr>
          <w:rStyle w:val="VerbatimChar"/>
        </w:rPr>
        <w:t xml:space="preserve">Technical_Debt_Plan.docx</w:t>
      </w:r>
      <w:r>
        <w:t xml:space="preserve"> </w:t>
      </w:r>
      <w:r>
        <w:t xml:space="preserve">§3.</w:t>
      </w:r>
    </w:p>
    <w:p>
      <w:r>
        <w:pict>
          <v:rect style="width:0;height:1.5pt" o:hralign="center" o:hrstd="t" o:hr="t"/>
        </w:pict>
      </w:r>
    </w:p>
    <w:bookmarkEnd w:id="78"/>
    <w:bookmarkStart w:id="79" w:name="X4146b25cb0c8427ae756e340fb0959c878e17db"/>
    <w:p>
      <w:pPr>
        <w:pStyle w:val="Heading1"/>
      </w:pPr>
      <w:r>
        <w:t xml:space="preserve">17. Limitations</w:t>
      </w:r>
    </w:p>
    <w:p>
      <w:pPr>
        <w:pStyle w:val="FirstParagraph"/>
      </w:pPr>
      <w:r>
        <w:t xml:space="preserve">Stated plainly, because a limitation concealed is a defect waiting to be found by</w:t>
      </w:r>
      <w:r>
        <w:t xml:space="preserve"> </w:t>
      </w:r>
      <w:r>
        <w:t xml:space="preserve">someone else.</w:t>
      </w:r>
    </w:p>
    <w:p>
      <w:pPr>
        <w:pStyle w:val="BodyText"/>
      </w:pPr>
      <w:r>
        <w:rPr>
          <w:b/>
          <w:bCs/>
        </w:rPr>
        <w:t xml:space="preserve">Clinical.</w:t>
      </w:r>
      <w:r>
        <w:t xml:space="preserve"> </w:t>
      </w:r>
      <w:r>
        <w:t xml:space="preserve">The rule content is illustrative and has not been reviewed by a</w:t>
      </w:r>
      <w:r>
        <w:t xml:space="preserve"> </w:t>
      </w:r>
      <w:r>
        <w:t xml:space="preserve">qualified clinician. It demonstrates a mechanism, not a validated instrument. The</w:t>
      </w:r>
      <w:r>
        <w:t xml:space="preserve"> </w:t>
      </w:r>
      <w:r>
        <w:t xml:space="preserve">interface says so; this document says so; it should not be inferred otherwise.</w:t>
      </w:r>
    </w:p>
    <w:p>
      <w:pPr>
        <w:pStyle w:val="BodyText"/>
      </w:pPr>
      <w:r>
        <w:rPr>
          <w:b/>
          <w:bCs/>
        </w:rPr>
        <w:t xml:space="preserve">Security.</w:t>
      </w:r>
      <w:r>
        <w:t xml:space="preserve"> </w:t>
      </w:r>
      <w:r>
        <w:t xml:space="preserve">API routes do not verify the caller's identity server-side. Role</w:t>
      </w:r>
      <w:r>
        <w:t xml:space="preserve"> </w:t>
      </w:r>
      <w:r>
        <w:t xml:space="preserve">separation is enforced in the browser only, which means a determined caller can</w:t>
      </w:r>
      <w:r>
        <w:t xml:space="preserve"> </w:t>
      </w:r>
      <w:r>
        <w:t xml:space="preserve">reach data belonging to another user. The deployment must therefore not receive</w:t>
      </w:r>
      <w:r>
        <w:t xml:space="preserve"> </w:t>
      </w:r>
      <w:r>
        <w:t xml:space="preserve">real personal or medical data. This is the single most serious limitation.</w:t>
      </w:r>
    </w:p>
    <w:p>
      <w:pPr>
        <w:pStyle w:val="BodyText"/>
      </w:pPr>
      <w:r>
        <w:rPr>
          <w:b/>
          <w:bCs/>
        </w:rPr>
        <w:t xml:space="preserve">Functional.</w:t>
      </w:r>
      <w:r>
        <w:t xml:space="preserve"> </w:t>
      </w:r>
      <w:r>
        <w:t xml:space="preserve">Payments are simulated. Notifications are in-application only.</w:t>
      </w:r>
      <w:r>
        <w:t xml:space="preserve"> </w:t>
      </w:r>
      <w:r>
        <w:t xml:space="preserve">Administrator rule edits do not reach the patient-facing engine. Reminders are</w:t>
      </w:r>
      <w:r>
        <w:t xml:space="preserve"> </w:t>
      </w:r>
      <w:r>
        <w:t xml:space="preserve">written at booking rather than dispatched at the reminder time.</w:t>
      </w:r>
    </w:p>
    <w:p>
      <w:pPr>
        <w:pStyle w:val="BodyText"/>
      </w:pPr>
      <w:r>
        <w:rPr>
          <w:b/>
          <w:bCs/>
        </w:rPr>
        <w:t xml:space="preserve">Quality assurance.</w:t>
      </w:r>
      <w:r>
        <w:t xml:space="preserve"> </w:t>
      </w:r>
      <w:r>
        <w:t xml:space="preserve">There is no automated end-to-end browser test suite;</w:t>
      </w:r>
      <w:r>
        <w:t xml:space="preserve"> </w:t>
      </w:r>
      <w:r>
        <w:t xml:space="preserve">system and acceptance testing were performed manually. Accessibility has been</w:t>
      </w:r>
      <w:r>
        <w:t xml:space="preserve"> </w:t>
      </w:r>
      <w:r>
        <w:t xml:space="preserve">designed for and measured for contrast, but not audited with assistive</w:t>
      </w:r>
      <w:r>
        <w:t xml:space="preserve"> </w:t>
      </w:r>
      <w:r>
        <w:t xml:space="preserve">technology. There is no load testing beyond the rule-engine harness.</w:t>
      </w:r>
    </w:p>
    <w:p>
      <w:pPr>
        <w:pStyle w:val="BodyText"/>
      </w:pPr>
      <w:r>
        <w:rPr>
          <w:b/>
          <w:bCs/>
        </w:rPr>
        <w:t xml:space="preserve">Process.</w:t>
      </w:r>
      <w:r>
        <w:t xml:space="preserve"> </w:t>
      </w:r>
      <w:r>
        <w:t xml:space="preserve">One developer, no code review, no independent tester. Requirements</w:t>
      </w:r>
      <w:r>
        <w:t xml:space="preserve"> </w:t>
      </w:r>
      <w:r>
        <w:t xml:space="preserve">were derived without a real user. The 48-hour constraint means every judgement</w:t>
      </w:r>
      <w:r>
        <w:t xml:space="preserve"> </w:t>
      </w:r>
      <w:r>
        <w:t xml:space="preserve">in this document was made once, quickly, and not revisited by anyone else.</w:t>
      </w:r>
    </w:p>
    <w:p>
      <w:r>
        <w:pict>
          <v:rect style="width:0;height:1.5pt" o:hralign="center" o:hrstd="t" o:hr="t"/>
        </w:pict>
      </w:r>
    </w:p>
    <w:bookmarkEnd w:id="79"/>
    <w:bookmarkStart w:id="80" w:name="X05d5dc8da2567324668c315e592404d4fb08610"/>
    <w:p>
      <w:pPr>
        <w:pStyle w:val="Heading1"/>
      </w:pPr>
      <w:r>
        <w:t xml:space="preserve">18. Conclusion</w:t>
      </w:r>
    </w:p>
    <w:p>
      <w:pPr>
        <w:pStyle w:val="FirstParagraph"/>
      </w:pPr>
      <w:r>
        <w:t xml:space="preserve">PulseTriage delivers a working telehealth system that assesses clinical urgency</w:t>
      </w:r>
      <w:r>
        <w:t xml:space="preserve"> </w:t>
      </w:r>
      <w:r>
        <w:t xml:space="preserve">before scheduling, guarantees that a red-flag presentation cannot produce a</w:t>
      </w:r>
      <w:r>
        <w:t xml:space="preserve"> </w:t>
      </w:r>
      <w:r>
        <w:t xml:space="preserve">booking, binds appointments to real clinician availability with a database-level</w:t>
      </w:r>
      <w:r>
        <w:t xml:space="preserve"> </w:t>
      </w:r>
      <w:r>
        <w:t xml:space="preserve">guarantee against duplication, and carries a two-way video consultation with the</w:t>
      </w:r>
      <w:r>
        <w:t xml:space="preserve"> </w:t>
      </w:r>
      <w:r>
        <w:t xml:space="preserve">patient's record beside it. Forty-four automated tests pass, the system is</w:t>
      </w:r>
      <w:r>
        <w:t xml:space="preserve"> </w:t>
      </w:r>
      <w:r>
        <w:t xml:space="preserve">deployed publicly, and every action it takes is recorded.</w:t>
      </w:r>
    </w:p>
    <w:p>
      <w:pPr>
        <w:pStyle w:val="BodyText"/>
      </w:pPr>
      <w:r>
        <w:t xml:space="preserve">The engineering claim worth making is not that the system is complete — it is</w:t>
      </w:r>
      <w:r>
        <w:t xml:space="preserve"> </w:t>
      </w:r>
      <w:r>
        <w:t xml:space="preserve">not, and §17 says where. It is that the incompleteness is</w:t>
      </w:r>
      <w:r>
        <w:t xml:space="preserve"> </w:t>
      </w:r>
      <w:r>
        <w:rPr>
          <w:i/>
          <w:iCs/>
        </w:rPr>
        <w:t xml:space="preserve">known, priced and</w:t>
      </w:r>
      <w:r>
        <w:rPr>
          <w:i/>
          <w:iCs/>
        </w:rPr>
        <w:t xml:space="preserve"> </w:t>
      </w:r>
      <w:r>
        <w:rPr>
          <w:i/>
          <w:iCs/>
        </w:rPr>
        <w:t xml:space="preserve">scheduled</w:t>
      </w:r>
      <w:r>
        <w:t xml:space="preserve">. The effort estimate showed at the outset that the full specification</w:t>
      </w:r>
      <w:r>
        <w:t xml:space="preserve"> </w:t>
      </w:r>
      <w:r>
        <w:t xml:space="preserve">was fifty times larger than the available budget. Scope was cut deliberately</w:t>
      </w:r>
      <w:r>
        <w:t xml:space="preserve"> </w:t>
      </w:r>
      <w:r>
        <w:t xml:space="preserve">rather than by attrition, the substitutions were made behind interfaces shaped</w:t>
      </w:r>
      <w:r>
        <w:t xml:space="preserve"> </w:t>
      </w:r>
      <w:r>
        <w:t xml:space="preserve">for their replacements, and what was traded away was written down as debt with a</w:t>
      </w:r>
      <w:r>
        <w:t xml:space="preserve"> </w:t>
      </w:r>
      <w:r>
        <w:t xml:space="preserve">resolution and a release attached.</w:t>
      </w:r>
    </w:p>
    <w:p>
      <w:pPr>
        <w:pStyle w:val="BodyText"/>
      </w:pPr>
      <w:r>
        <w:t xml:space="preserve">The most valuable output of the exercise is therefore not the running</w:t>
      </w:r>
      <w:r>
        <w:t xml:space="preserve"> </w:t>
      </w:r>
      <w:r>
        <w:t xml:space="preserve">application. It is the demonstration that a project can be delivered under a</w:t>
      </w:r>
      <w:r>
        <w:t xml:space="preserve"> </w:t>
      </w:r>
      <w:r>
        <w:t xml:space="preserve">severe constraint without pretending the constraint had no cost.</w:t>
      </w:r>
    </w:p>
    <w:p>
      <w:r>
        <w:pict>
          <v:rect style="width:0;height:1.5pt" o:hralign="center" o:hrstd="t" o:hr="t"/>
        </w:pict>
      </w:r>
    </w:p>
    <w:bookmarkEnd w:id="80"/>
    <w:bookmarkStart w:id="82" w:name="Xc0ecd0d081fca7eea10449b604ce02ebd70d355"/>
    <w:p>
      <w:pPr>
        <w:pStyle w:val="Heading1"/>
      </w:pPr>
      <w:r>
        <w:t xml:space="preserve">19. References</w:t>
      </w:r>
    </w:p>
    <w:p>
      <w:pPr>
        <w:pStyle w:val="Compact"/>
        <w:numPr>
          <w:ilvl w:val="0"/>
          <w:numId w:val="1004"/>
        </w:numPr>
      </w:pPr>
      <w:r>
        <w:t xml:space="preserve">IEEE Std 830-1998,</w:t>
      </w:r>
      <w:r>
        <w:t xml:space="preserve"> </w:t>
      </w:r>
      <w:r>
        <w:rPr>
          <w:i/>
          <w:iCs/>
        </w:rPr>
        <w:t xml:space="preserve">Recommended Practice for Software Requirements Specifications</w:t>
      </w:r>
      <w:r>
        <w:t xml:space="preserve">. IEEE, 1998.</w:t>
      </w:r>
    </w:p>
    <w:p>
      <w:pPr>
        <w:pStyle w:val="Compact"/>
        <w:numPr>
          <w:ilvl w:val="0"/>
          <w:numId w:val="1004"/>
        </w:numPr>
      </w:pPr>
      <w:r>
        <w:t xml:space="preserve">Karner, G.</w:t>
      </w:r>
      <w:r>
        <w:t xml:space="preserve"> </w:t>
      </w:r>
      <w:r>
        <w:rPr>
          <w:i/>
          <w:iCs/>
        </w:rPr>
        <w:t xml:space="preserve">Resource Estimation for Objectory Projects</w:t>
      </w:r>
      <w:r>
        <w:t xml:space="preserve">. Objective Systems SF AB, 1993.</w:t>
      </w:r>
    </w:p>
    <w:p>
      <w:pPr>
        <w:pStyle w:val="Compact"/>
        <w:numPr>
          <w:ilvl w:val="0"/>
          <w:numId w:val="1004"/>
        </w:numPr>
      </w:pPr>
      <w:r>
        <w:t xml:space="preserve">Boehm, B. et al.</w:t>
      </w:r>
      <w:r>
        <w:t xml:space="preserve"> </w:t>
      </w:r>
      <w:r>
        <w:rPr>
          <w:i/>
          <w:iCs/>
        </w:rPr>
        <w:t xml:space="preserve">Software Cost Estimation with COCOMO II</w:t>
      </w:r>
      <w:r>
        <w:t xml:space="preserve">. Prentice Hall, 2000.</w:t>
      </w:r>
    </w:p>
    <w:p>
      <w:pPr>
        <w:pStyle w:val="Compact"/>
        <w:numPr>
          <w:ilvl w:val="0"/>
          <w:numId w:val="1004"/>
        </w:numPr>
      </w:pPr>
      <w:r>
        <w:t xml:space="preserve">Cunningham, W. "The WyCash Portfolio Management System."</w:t>
      </w:r>
      <w:r>
        <w:t xml:space="preserve"> </w:t>
      </w:r>
      <w:r>
        <w:rPr>
          <w:i/>
          <w:iCs/>
        </w:rPr>
        <w:t xml:space="preserve">OOPSLA '92 Experience Report</w:t>
      </w:r>
      <w:r>
        <w:t xml:space="preserve">, 1992.</w:t>
      </w:r>
    </w:p>
    <w:p>
      <w:pPr>
        <w:pStyle w:val="Compact"/>
        <w:numPr>
          <w:ilvl w:val="0"/>
          <w:numId w:val="1004"/>
        </w:numPr>
      </w:pPr>
      <w:r>
        <w:t xml:space="preserve">Kruchten, P., Nord, R. and Ozkaya, I.</w:t>
      </w:r>
      <w:r>
        <w:t xml:space="preserve"> </w:t>
      </w:r>
      <w:r>
        <w:rPr>
          <w:i/>
          <w:iCs/>
        </w:rPr>
        <w:t xml:space="preserve">Managing Technical Debt: Reducing Friction in Software Development</w:t>
      </w:r>
      <w:r>
        <w:t xml:space="preserve">. Addison-Wesley, 2019.</w:t>
      </w:r>
    </w:p>
    <w:p>
      <w:pPr>
        <w:pStyle w:val="Compact"/>
        <w:numPr>
          <w:ilvl w:val="0"/>
          <w:numId w:val="1004"/>
        </w:numPr>
      </w:pPr>
      <w:r>
        <w:t xml:space="preserve">Sommerville, I.</w:t>
      </w:r>
      <w:r>
        <w:t xml:space="preserve"> </w:t>
      </w:r>
      <w:r>
        <w:rPr>
          <w:i/>
          <w:iCs/>
        </w:rPr>
        <w:t xml:space="preserve">Software Engineering</w:t>
      </w:r>
      <w:r>
        <w:t xml:space="preserve">, 10th edn. Pearson, 2015.</w:t>
      </w:r>
    </w:p>
    <w:p>
      <w:pPr>
        <w:pStyle w:val="Compact"/>
        <w:numPr>
          <w:ilvl w:val="0"/>
          <w:numId w:val="1004"/>
        </w:numPr>
      </w:pPr>
      <w:r>
        <w:t xml:space="preserve">Pressman, R. and Maxim, B.</w:t>
      </w:r>
      <w:r>
        <w:t xml:space="preserve"> </w:t>
      </w:r>
      <w:r>
        <w:rPr>
          <w:i/>
          <w:iCs/>
        </w:rPr>
        <w:t xml:space="preserve">Software Engineering: A Practitioner's Approach</w:t>
      </w:r>
      <w:r>
        <w:t xml:space="preserve">, 9th edn. McGraw-Hill, 2020.</w:t>
      </w:r>
    </w:p>
    <w:p>
      <w:pPr>
        <w:pStyle w:val="Compact"/>
        <w:numPr>
          <w:ilvl w:val="0"/>
          <w:numId w:val="1004"/>
        </w:numPr>
      </w:pPr>
      <w:r>
        <w:t xml:space="preserve">W3C.</w:t>
      </w:r>
      <w:r>
        <w:t xml:space="preserve"> </w:t>
      </w:r>
      <w:r>
        <w:rPr>
          <w:i/>
          <w:iCs/>
        </w:rPr>
        <w:t xml:space="preserve">Web Content Accessibility Guidelines (WCAG) 2.1</w:t>
      </w:r>
      <w:r>
        <w:t xml:space="preserve">. W3C Recommendation, 2018.</w:t>
      </w:r>
    </w:p>
    <w:p>
      <w:pPr>
        <w:pStyle w:val="Compact"/>
        <w:numPr>
          <w:ilvl w:val="0"/>
          <w:numId w:val="1004"/>
        </w:numPr>
      </w:pPr>
      <w:r>
        <w:t xml:space="preserve">OWASP Foundation.</w:t>
      </w:r>
      <w:r>
        <w:t xml:space="preserve"> </w:t>
      </w:r>
      <w:r>
        <w:rPr>
          <w:i/>
          <w:iCs/>
        </w:rPr>
        <w:t xml:space="preserve">OWASP Top 10: 2021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https://owasp.org/Top10/</w:t>
        </w:r>
      </w:hyperlink>
    </w:p>
    <w:p>
      <w:pPr>
        <w:pStyle w:val="Compact"/>
        <w:numPr>
          <w:ilvl w:val="0"/>
          <w:numId w:val="1004"/>
        </w:numPr>
      </w:pPr>
      <w:r>
        <w:t xml:space="preserve">Manchester Triage Group.</w:t>
      </w:r>
      <w:r>
        <w:t xml:space="preserve"> </w:t>
      </w:r>
      <w:r>
        <w:rPr>
          <w:i/>
          <w:iCs/>
        </w:rPr>
        <w:t xml:space="preserve">Emergency Triage</w:t>
      </w:r>
      <w:r>
        <w:t xml:space="preserve">, 3rd edn. BMJ Books, 2014.</w:t>
      </w:r>
    </w:p>
    <w:p>
      <w:pPr>
        <w:pStyle w:val="Compact"/>
        <w:numPr>
          <w:ilvl w:val="0"/>
          <w:numId w:val="1004"/>
        </w:numPr>
      </w:pPr>
      <w:r>
        <w:t xml:space="preserve">Republic of Ghana.</w:t>
      </w:r>
      <w:r>
        <w:t xml:space="preserve"> </w:t>
      </w:r>
      <w:r>
        <w:rPr>
          <w:i/>
          <w:iCs/>
        </w:rPr>
        <w:t xml:space="preserve">Data Protection Act, 2012 (Act 843)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Fowler, M.</w:t>
      </w:r>
      <w:r>
        <w:t xml:space="preserve"> </w:t>
      </w:r>
      <w:r>
        <w:rPr>
          <w:i/>
          <w:iCs/>
        </w:rPr>
        <w:t xml:space="preserve">Refactoring: Improving the Design of Existing Code</w:t>
      </w:r>
      <w:r>
        <w:t xml:space="preserve">, 2nd edn. Addison-Wesley, 2018.</w:t>
      </w:r>
    </w:p>
    <w:p>
      <w:pPr>
        <w:pStyle w:val="Compact"/>
        <w:numPr>
          <w:ilvl w:val="0"/>
          <w:numId w:val="1004"/>
        </w:numPr>
      </w:pPr>
      <w:r>
        <w:t xml:space="preserve">Newman, S.</w:t>
      </w:r>
      <w:r>
        <w:t xml:space="preserve"> </w:t>
      </w:r>
      <w:r>
        <w:rPr>
          <w:i/>
          <w:iCs/>
        </w:rPr>
        <w:t xml:space="preserve">Building Microservices</w:t>
      </w:r>
      <w:r>
        <w:t xml:space="preserve">, 2nd edn. O'Reilly, 2021.</w:t>
      </w:r>
    </w:p>
    <w:p>
      <w:pPr>
        <w:pStyle w:val="Compact"/>
        <w:numPr>
          <w:ilvl w:val="0"/>
          <w:numId w:val="1004"/>
        </w:numPr>
      </w:pPr>
      <w:r>
        <w:t xml:space="preserve">Nielsen, J.</w:t>
      </w:r>
      <w:r>
        <w:t xml:space="preserve"> </w:t>
      </w:r>
      <w:r>
        <w:rPr>
          <w:i/>
          <w:iCs/>
        </w:rPr>
        <w:t xml:space="preserve">Usability Engineering</w:t>
      </w:r>
      <w:r>
        <w:t xml:space="preserve">. Morgan Kaufmann, 1993.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Consolidated Project Documentation.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hyperlink" Id="rId10" Target="https://github.com/NketiaAsubontengErnest/pulsetriage" TargetMode="External" /><Relationship Type="http://schemas.openxmlformats.org/officeDocument/2006/relationships/hyperlink" Id="rId81" Target="https://owasp.org/Top10/" TargetMode="External" /><Relationship Type="http://schemas.openxmlformats.org/officeDocument/2006/relationships/hyperlink" Id="rId9" Target="https://pulsetriage.vercel.app" TargetMode="External" /><Relationship Type="http://schemas.openxmlformats.org/officeDocument/2006/relationships/hyperlink" Id="rId70" Target="https://pulsetriage.vercel.app/adm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NketiaAsubontengErnest/pulsetriage" TargetMode="External" /><Relationship Type="http://schemas.openxmlformats.org/officeDocument/2006/relationships/hyperlink" Id="rId81" Target="https://owasp.org/Top10/" TargetMode="External" /><Relationship Type="http://schemas.openxmlformats.org/officeDocument/2006/relationships/hyperlink" Id="rId9" Target="https://pulsetriage.vercel.app" TargetMode="External" /><Relationship Type="http://schemas.openxmlformats.org/officeDocument/2006/relationships/hyperlink" Id="rId70" Target="https://pulsetriage.vercel.app/adm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Consolidated Project Documentation</dc:title>
  <dc:creator>Ernest Nketia Asubonteng (22424715)</dc:creator>
  <dc:language>en-GB</dc:language>
  <cp:keywords/>
  <dcterms:created xsi:type="dcterms:W3CDTF">2026-08-13T10:37:18Z</dcterms:created>
  <dcterms:modified xsi:type="dcterms:W3CDTF">2026-08-13T10:37:18Z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CSCD 602 Advanced Software Engineering · University of Ghana</vt:lpwstr>
  </property>
  <property fmtid="{D5CDD505-2E9C-101B-9397-08002B2CF9AE}" pid="3" name="subtitle">
    <vt:lpwstr>PulseTriage — Telehealth Appointment &amp; Urgency Auto-Triage System</vt:lpwstr>
  </property>
</Properties>
</file>