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Technical Debt Identification and Management Plan</w:t>
      </w:r>
    </w:p>
    <w:p>
      <w:pPr>
        <w:pStyle w:val="Subtitle"/>
      </w:pPr>
      <w:r>
        <w:t xml:space="preserve">PulseTriage — Telehealth Appointment &amp; Urgency Auto-Triage System</w:t>
      </w:r>
    </w:p>
    <w:p>
      <w:pPr>
        <w:pStyle w:val="Author"/>
      </w:pPr>
      <w:r>
        <w:t xml:space="preserve">Ernest Nketia Asubonteng (22424715)</w:t>
      </w:r>
    </w:p>
    <w:p>
      <w:pPr>
        <w:pStyle w:val="Date"/>
      </w:pPr>
      <w:r>
        <w:t xml:space="preserve">CSCD 602 Advanced Software Engineering · University of Ghana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e9aaefcb1aee6da6dccc72793d19049e1fcef59"/>
    <w:p>
      <w:pPr>
        <w:pStyle w:val="Heading1"/>
      </w:pPr>
      <w:r>
        <w:t xml:space="preserve">TECHNICAL DEBT IDENTIFICATION AND MANAGEMENT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Ernest Nketia Asubonteng — 22424715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Course</w:t>
            </w:r>
          </w:p>
        </w:tc>
        <w:tc>
          <w:tcPr/>
          <w:p>
            <w:pPr>
              <w:pStyle w:val="Compact"/>
            </w:pPr>
            <w:r>
              <w:t xml:space="preserve">CSCD 602 Advanced Software Engineering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Examiner</w:t>
            </w:r>
          </w:p>
        </w:tc>
        <w:tc>
          <w:tcPr/>
          <w:p>
            <w:pPr>
              <w:pStyle w:val="Compact"/>
            </w:pPr>
            <w:r>
              <w:t xml:space="preserve">Prof. Solomon Mensah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Technical debt only. Requirements are in</w:t>
            </w:r>
            <w:r>
              <w:t xml:space="preserve"> </w:t>
            </w:r>
            <w:r>
              <w:rPr>
                <w:rStyle w:val="VerbatimChar"/>
              </w:rPr>
              <w:t xml:space="preserve">SRS.docx</w:t>
            </w:r>
            <w:r>
              <w:t xml:space="preserve">; test evidence in</w:t>
            </w:r>
            <w:r>
              <w:t xml:space="preserve"> </w:t>
            </w:r>
            <w:r>
              <w:rPr>
                <w:rStyle w:val="VerbatimChar"/>
              </w:rPr>
              <w:t xml:space="preserve">Testing_Report.docx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X102b2e9de4183984340b81b0bb402a984d3925a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Technical debt here is used in Cunningham's original sense: a deliberate</w:t>
      </w:r>
      <w:r>
        <w:t xml:space="preserve"> </w:t>
      </w:r>
      <w:r>
        <w:t xml:space="preserve">trade-off taken to ship sooner, carrying interest that must eventually be paid.</w:t>
      </w:r>
      <w:r>
        <w:t xml:space="preserve"> </w:t>
      </w:r>
      <w:r>
        <w:t xml:space="preserve">Not every shortcoming is debt. A missing feature that was never in scope is not</w:t>
      </w:r>
      <w:r>
        <w:t xml:space="preserve"> </w:t>
      </w:r>
      <w:r>
        <w:t xml:space="preserve">debt — it is scope. Debt is what was</w:t>
      </w:r>
      <w:r>
        <w:t xml:space="preserve"> </w:t>
      </w:r>
      <w:r>
        <w:rPr>
          <w:i/>
          <w:iCs/>
        </w:rPr>
        <w:t xml:space="preserve">taken on knowingly</w:t>
      </w:r>
      <w:r>
        <w:t xml:space="preserve"> </w:t>
      </w:r>
      <w:r>
        <w:t xml:space="preserve">to meet the deadline,</w:t>
      </w:r>
      <w:r>
        <w:t xml:space="preserve"> </w:t>
      </w:r>
      <w:r>
        <w:t xml:space="preserve">plus what was discovered afterwards and left in place.</w:t>
      </w:r>
    </w:p>
    <w:p>
      <w:pPr>
        <w:pStyle w:val="BodyText"/>
      </w:pPr>
      <w:r>
        <w:t xml:space="preserve">The effort estimate in</w:t>
      </w:r>
      <w:r>
        <w:t xml:space="preserve"> </w:t>
      </w:r>
      <w:r>
        <w:rPr>
          <w:rStyle w:val="VerbatimChar"/>
        </w:rPr>
        <w:t xml:space="preserve">Project_Documentation.docx</w:t>
      </w:r>
      <w:r>
        <w:t xml:space="preserve"> </w:t>
      </w:r>
      <w:r>
        <w:t xml:space="preserve">§7 established that the full</w:t>
      </w:r>
      <w:r>
        <w:t xml:space="preserve"> </w:t>
      </w:r>
      <w:r>
        <w:t xml:space="preserve">specification was roughly fifty times larger than the 48-hour budget. That gap</w:t>
      </w:r>
      <w:r>
        <w:t xml:space="preserve"> </w:t>
      </w:r>
      <w:r>
        <w:t xml:space="preserve">had to be absorbed somewhere. It was absorbed here: this register is the priced</w:t>
      </w:r>
      <w:r>
        <w:t xml:space="preserve"> </w:t>
      </w:r>
      <w:r>
        <w:t xml:space="preserve">remainder of that estimate.</w:t>
      </w:r>
    </w:p>
    <w:bookmarkStart w:id="10" w:name="Xf6c9405015cb568c2b08cdca2f032279c648948"/>
    <w:p>
      <w:pPr>
        <w:pStyle w:val="Heading2"/>
      </w:pPr>
      <w:r>
        <w:t xml:space="preserve">1.1 Classification Scheme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Blocks deployment with real patient data, or risks harm</w:t>
            </w:r>
          </w:p>
        </w:tc>
        <w:tc>
          <w:tcPr/>
          <w:p>
            <w:pPr>
              <w:pStyle w:val="Compact"/>
            </w:pPr>
            <w:r>
              <w:t xml:space="preserve">Must be repaid before any production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Scheduled</w:t>
            </w:r>
          </w:p>
        </w:tc>
        <w:tc>
          <w:tcPr/>
          <w:p>
            <w:pPr>
              <w:pStyle w:val="Compact"/>
            </w:pPr>
            <w:r>
              <w:t xml:space="preserve">Accepted for the demonstrator; a real gap with a named release</w:t>
            </w:r>
          </w:p>
        </w:tc>
        <w:tc>
          <w:tcPr/>
          <w:p>
            <w:pPr>
              <w:pStyle w:val="Compact"/>
            </w:pPr>
            <w:r>
              <w:t xml:space="preserve">Dated resolution in §3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Acceptable</w:t>
            </w:r>
          </w:p>
        </w:tc>
        <w:tc>
          <w:tcPr/>
          <w:p>
            <w:pPr>
              <w:pStyle w:val="Compact"/>
            </w:pPr>
            <w:r>
              <w:t xml:space="preserve">Proportionate to the current scope; only becomes a problem if scope grows</w:t>
            </w:r>
          </w:p>
        </w:tc>
        <w:tc>
          <w:tcPr/>
          <w:p>
            <w:pPr>
              <w:pStyle w:val="Compact"/>
            </w:pPr>
            <w:r>
              <w:t xml:space="preserve">Monitor; revisit at the quarterly review</w:t>
            </w:r>
          </w:p>
        </w:tc>
      </w:tr>
    </w:tbl>
    <w:bookmarkEnd w:id="10"/>
    <w:bookmarkStart w:id="11" w:name="X8268b06e962dada2601e762ee4fe01b176c83e1"/>
    <w:p>
      <w:pPr>
        <w:pStyle w:val="Heading2"/>
      </w:pPr>
      <w:r>
        <w:t xml:space="preserve">1.2 Register at a Glance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Debt</w:t>
            </w:r>
          </w:p>
        </w:tc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TD-01</w:t>
            </w:r>
          </w:p>
        </w:tc>
        <w:tc>
          <w:tcPr/>
          <w:p>
            <w:pPr>
              <w:pStyle w:val="Compact"/>
            </w:pPr>
            <w:r>
              <w:t xml:space="preserve">Authorisation enforced on only part of the API surface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TD-02</w:t>
            </w:r>
          </w:p>
        </w:tc>
        <w:tc>
          <w:tcPr/>
          <w:p>
            <w:pPr>
              <w:pStyle w:val="Compact"/>
            </w:pPr>
            <w:r>
              <w:t xml:space="preserve">Credentials remain in Git history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TD-03</w:t>
            </w:r>
          </w:p>
        </w:tc>
        <w:tc>
          <w:tcPr/>
          <w:p>
            <w:pPr>
              <w:pStyle w:val="Compact"/>
            </w:pPr>
            <w:r>
              <w:t xml:space="preserve">Unsigned session copy retained in browser local storage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TD-21</w:t>
            </w:r>
          </w:p>
        </w:tc>
        <w:tc>
          <w:tcPr/>
          <w:p>
            <w:pPr>
              <w:pStyle w:val="Compact"/>
            </w:pPr>
            <w:r>
              <w:t xml:space="preserve">Session signing key has a published fallback value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TD-04</w:t>
            </w:r>
          </w:p>
        </w:tc>
        <w:tc>
          <w:tcPr/>
          <w:p>
            <w:pPr>
              <w:pStyle w:val="Compact"/>
            </w:pPr>
            <w:r>
              <w:t xml:space="preserve">Administrator rule edits are session-scoped, not persisted</w:t>
            </w:r>
          </w:p>
        </w:tc>
        <w:tc>
          <w:tcPr/>
          <w:p>
            <w:pPr>
              <w:pStyle w:val="Compact"/>
            </w:pPr>
            <w:r>
              <w:t xml:space="preserve">Scheduled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TD-05</w:t>
            </w:r>
          </w:p>
        </w:tc>
        <w:tc>
          <w:tcPr/>
          <w:p>
            <w:pPr>
              <w:pStyle w:val="Compact"/>
            </w:pPr>
            <w:r>
              <w:t xml:space="preserve">No e-mail verification and no password reset</w:t>
            </w:r>
          </w:p>
        </w:tc>
        <w:tc>
          <w:tcPr/>
          <w:p>
            <w:pPr>
              <w:pStyle w:val="Compact"/>
            </w:pPr>
            <w:r>
              <w:t xml:space="preserve">Scheduled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TD-08</w:t>
            </w:r>
          </w:p>
        </w:tc>
        <w:tc>
          <w:tcPr/>
          <w:p>
            <w:pPr>
              <w:pStyle w:val="Compact"/>
            </w:pPr>
            <w:r>
              <w:t xml:space="preserve">Read access to patient data is not comprehensively audited</w:t>
            </w:r>
          </w:p>
        </w:tc>
        <w:tc>
          <w:tcPr/>
          <w:p>
            <w:pPr>
              <w:pStyle w:val="Compact"/>
            </w:pPr>
            <w:r>
              <w:t xml:space="preserve">Scheduled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TD-11</w:t>
            </w:r>
          </w:p>
        </w:tc>
        <w:tc>
          <w:tcPr/>
          <w:p>
            <w:pPr>
              <w:pStyle w:val="Compact"/>
            </w:pPr>
            <w:r>
              <w:t xml:space="preserve">Payment settlement is fully simulated</w:t>
            </w:r>
          </w:p>
        </w:tc>
        <w:tc>
          <w:tcPr/>
          <w:p>
            <w:pPr>
              <w:pStyle w:val="Compact"/>
            </w:pPr>
            <w:r>
              <w:t xml:space="preserve">Scheduled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TD-12</w:t>
            </w:r>
          </w:p>
        </w:tc>
        <w:tc>
          <w:tcPr/>
          <w:p>
            <w:pPr>
              <w:pStyle w:val="Compact"/>
            </w:pPr>
            <w:r>
              <w:t xml:space="preserve">Notification delivery is in-application only</w:t>
            </w:r>
          </w:p>
        </w:tc>
        <w:tc>
          <w:tcPr/>
          <w:p>
            <w:pPr>
              <w:pStyle w:val="Compact"/>
            </w:pPr>
            <w:r>
              <w:t xml:space="preserve">Scheduled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TD-13</w:t>
            </w:r>
          </w:p>
        </w:tc>
        <w:tc>
          <w:tcPr/>
          <w:p>
            <w:pPr>
              <w:pStyle w:val="Compact"/>
            </w:pPr>
            <w:r>
              <w:t xml:space="preserve">Internal error detail reaches the client on some paths</w:t>
            </w:r>
          </w:p>
        </w:tc>
        <w:tc>
          <w:tcPr/>
          <w:p>
            <w:pPr>
              <w:pStyle w:val="Compact"/>
            </w:pPr>
            <w:r>
              <w:t xml:space="preserve">Scheduled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TD-14</w:t>
            </w:r>
          </w:p>
        </w:tc>
        <w:tc>
          <w:tcPr/>
          <w:p>
            <w:pPr>
              <w:pStyle w:val="Compact"/>
            </w:pPr>
            <w:r>
              <w:t xml:space="preserve">Monetary amounts stored as floating point</w:t>
            </w:r>
          </w:p>
        </w:tc>
        <w:tc>
          <w:tcPr/>
          <w:p>
            <w:pPr>
              <w:pStyle w:val="Compact"/>
            </w:pPr>
            <w:r>
              <w:t xml:space="preserve">Scheduled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TD-15</w:t>
            </w:r>
          </w:p>
        </w:tc>
        <w:tc>
          <w:tcPr/>
          <w:p>
            <w:pPr>
              <w:pStyle w:val="Compact"/>
            </w:pPr>
            <w:r>
              <w:t xml:space="preserve">No data-processing agreement covering inference calls</w:t>
            </w:r>
          </w:p>
        </w:tc>
        <w:tc>
          <w:tcPr/>
          <w:p>
            <w:pPr>
              <w:pStyle w:val="Compact"/>
            </w:pPr>
            <w:r>
              <w:t xml:space="preserve">Scheduled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TD-17</w:t>
            </w:r>
          </w:p>
        </w:tc>
        <w:tc>
          <w:tcPr/>
          <w:p>
            <w:pPr>
              <w:pStyle w:val="Compact"/>
            </w:pPr>
            <w:r>
              <w:t xml:space="preserve">No rate limiting on authentication or inference endpoints</w:t>
            </w:r>
          </w:p>
        </w:tc>
        <w:tc>
          <w:tcPr/>
          <w:p>
            <w:pPr>
              <w:pStyle w:val="Compact"/>
            </w:pPr>
            <w:r>
              <w:t xml:space="preserve">Scheduled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TD-09</w:t>
            </w:r>
          </w:p>
        </w:tc>
        <w:tc>
          <w:tcPr/>
          <w:p>
            <w:pPr>
              <w:pStyle w:val="Compact"/>
            </w:pPr>
            <w:r>
              <w:t xml:space="preserve">No accessibility audit with assistive technology</w:t>
            </w:r>
          </w:p>
        </w:tc>
        <w:tc>
          <w:tcPr/>
          <w:p>
            <w:pPr>
              <w:pStyle w:val="Compact"/>
            </w:pPr>
            <w:r>
              <w:t xml:space="preserve">Acceptable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TD-16</w:t>
            </w:r>
          </w:p>
        </w:tc>
        <w:tc>
          <w:tcPr/>
          <w:p>
            <w:pPr>
              <w:pStyle w:val="Compact"/>
            </w:pPr>
            <w:r>
              <w:t xml:space="preserve">Unused Tailwind dependency and configuration</w:t>
            </w:r>
          </w:p>
        </w:tc>
        <w:tc>
          <w:tcPr/>
          <w:p>
            <w:pPr>
              <w:pStyle w:val="Compact"/>
            </w:pPr>
            <w:r>
              <w:t xml:space="preserve">Acceptable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TD-18</w:t>
            </w:r>
          </w:p>
        </w:tc>
        <w:tc>
          <w:tcPr/>
          <w:p>
            <w:pPr>
              <w:pStyle w:val="Compact"/>
            </w:pPr>
            <w:r>
              <w:t xml:space="preserve">No caching layer on read-heavy public endpoints</w:t>
            </w:r>
          </w:p>
        </w:tc>
        <w:tc>
          <w:tcPr/>
          <w:p>
            <w:pPr>
              <w:pStyle w:val="Compact"/>
            </w:pPr>
            <w:r>
              <w:t xml:space="preserve">Acceptable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TD-19</w:t>
            </w:r>
          </w:p>
        </w:tc>
        <w:tc>
          <w:tcPr/>
          <w:p>
            <w:pPr>
              <w:pStyle w:val="Compact"/>
            </w:pPr>
            <w:r>
              <w:t xml:space="preserve">No idempotency keys on payment and booking writes</w:t>
            </w:r>
          </w:p>
        </w:tc>
        <w:tc>
          <w:tcPr/>
          <w:p>
            <w:pPr>
              <w:pStyle w:val="Compact"/>
            </w:pPr>
            <w:r>
              <w:t xml:space="preserve">Acceptable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TD-20</w:t>
            </w:r>
          </w:p>
        </w:tc>
        <w:tc>
          <w:tcPr/>
          <w:p>
            <w:pPr>
              <w:pStyle w:val="Compact"/>
            </w:pPr>
            <w:r>
              <w:t xml:space="preserve">No automated end-to-end browser tests</w:t>
            </w:r>
          </w:p>
        </w:tc>
        <w:tc>
          <w:tcPr/>
          <w:p>
            <w:pPr>
              <w:pStyle w:val="Compact"/>
            </w:pPr>
            <w:r>
              <w:t xml:space="preserve">Acceptable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Totals:</w:t>
      </w:r>
      <w:r>
        <w:t xml:space="preserve"> </w:t>
      </w:r>
      <w:r>
        <w:t xml:space="preserve">4 critical, 9 scheduled, 5 acceptable.</w:t>
      </w:r>
    </w:p>
    <w:bookmarkEnd w:id="11"/>
    <w:bookmarkStart w:id="12" w:name="X668105e8acb977c6647604ed4c6dd9574133fe6"/>
    <w:p>
      <w:pPr>
        <w:pStyle w:val="Heading2"/>
      </w:pPr>
      <w:r>
        <w:t xml:space="preserve">1.3 Debt Closed During the Examination Period</w:t>
      </w:r>
    </w:p>
    <w:p>
      <w:pPr>
        <w:pStyle w:val="FirstParagraph"/>
      </w:pPr>
      <w:r>
        <w:t xml:space="preserve">Four items from the original register were repaid before submission and are</w:t>
      </w:r>
      <w:r>
        <w:t xml:space="preserve"> </w:t>
      </w:r>
      <w:r>
        <w:t xml:space="preserve">recorded here so the register reflects reality rather than history.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Debt</w:t>
            </w:r>
          </w:p>
        </w:tc>
        <w:tc>
          <w:tcPr/>
          <w:p>
            <w:pPr>
              <w:pStyle w:val="Compact"/>
            </w:pPr>
            <w:r>
              <w:t xml:space="preserve">How it was 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TD-06</w:t>
            </w:r>
          </w:p>
        </w:tc>
        <w:tc>
          <w:tcPr/>
          <w:p>
            <w:pPr>
              <w:pStyle w:val="Compact"/>
            </w:pPr>
            <w:r>
              <w:t xml:space="preserve">Double-booking possible</w:t>
            </w:r>
          </w:p>
        </w:tc>
        <w:tc>
          <w:tcPr/>
          <w:p>
            <w:pPr>
              <w:pStyle w:val="Compact"/>
            </w:pPr>
            <w:r>
              <w:t xml:space="preserve">Unique constraint on</w:t>
            </w:r>
            <w:r>
              <w:t xml:space="preserve"> </w:t>
            </w:r>
            <w:r>
              <w:rPr>
                <w:rStyle w:val="VerbatimChar"/>
              </w:rPr>
              <w:t xml:space="preserve">(doctor_id, slot_key)</w:t>
            </w:r>
            <w:r>
              <w:t xml:space="preserve"> </w:t>
            </w:r>
            <w:r>
              <w:t xml:space="preserve">plus a transactional re-check. Verified: eight concurrent attempts on one slot produced exactly one appointment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TD-07</w:t>
            </w:r>
          </w:p>
        </w:tc>
        <w:tc>
          <w:tcPr/>
          <w:p>
            <w:pPr>
              <w:pStyle w:val="Compact"/>
            </w:pPr>
            <w:r>
              <w:t xml:space="preserve">No patient-initiated reschedule or cancellation</w:t>
            </w:r>
          </w:p>
        </w:tc>
        <w:tc>
          <w:tcPr/>
          <w:p>
            <w:pPr>
              <w:pStyle w:val="Compact"/>
            </w:pPr>
            <w:r>
              <w:t xml:space="preserve">Both implemented; rescheduling re-checks availability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TD-10</w:t>
            </w:r>
          </w:p>
        </w:tc>
        <w:tc>
          <w:tcPr/>
          <w:p>
            <w:pPr>
              <w:pStyle w:val="Compact"/>
            </w:pPr>
            <w:r>
              <w:t xml:space="preserve">Consultation room had local preview only</w:t>
            </w:r>
          </w:p>
        </w:tc>
        <w:tc>
          <w:tcPr/>
          <w:p>
            <w:pPr>
              <w:pStyle w:val="Compact"/>
            </w:pPr>
            <w:r>
              <w:t xml:space="preserve">Full two-way WebRTC media, signalled through the database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trike/>
              </w:rPr>
              <w:t xml:space="preserve">TD-02a</w:t>
            </w:r>
          </w:p>
        </w:tc>
        <w:tc>
          <w:tcPr/>
          <w:p>
            <w:pPr>
              <w:pStyle w:val="Compact"/>
            </w:pPr>
            <w:r>
              <w:t xml:space="preserve">Literal API key in source</w:t>
            </w:r>
          </w:p>
        </w:tc>
        <w:tc>
          <w:tcPr/>
          <w:p>
            <w:pPr>
              <w:pStyle w:val="Compact"/>
            </w:pPr>
            <w:r>
              <w:t xml:space="preserve">Removed from the working tree; environment variables only; secret scanner and pre-commit hook added. The Git-history half remains open as TD-02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35" w:name="X1edf989ff972fd3f41a88b1256eb19ddf727ff7"/>
    <w:p>
      <w:pPr>
        <w:pStyle w:val="Heading1"/>
      </w:pPr>
      <w:r>
        <w:t xml:space="preserve">2. Debt Register</w:t>
      </w:r>
    </w:p>
    <w:p>
      <w:pPr>
        <w:pStyle w:val="FirstParagraph"/>
      </w:pPr>
      <w:r>
        <w:t xml:space="preserve">Each item is recorded as</w:t>
      </w:r>
      <w:r>
        <w:t xml:space="preserve"> </w:t>
      </w:r>
      <w:r>
        <w:rPr>
          <w:b/>
          <w:bCs/>
        </w:rPr>
        <w:t xml:space="preserve">Debt → Cause → Impact → Priority → Proposed</w:t>
      </w:r>
      <w:r>
        <w:rPr>
          <w:b/>
          <w:bCs/>
        </w:rPr>
        <w:t xml:space="preserve"> </w:t>
      </w:r>
      <w:r>
        <w:rPr>
          <w:b/>
          <w:bCs/>
        </w:rPr>
        <w:t xml:space="preserve">Resolution</w:t>
      </w:r>
      <w:r>
        <w:t xml:space="preserve">.</w:t>
      </w:r>
    </w:p>
    <w:bookmarkStart w:id="18" w:name="critical--requires-immediate-attention"/>
    <w:p>
      <w:pPr>
        <w:pStyle w:val="Heading2"/>
      </w:pPr>
      <w:r>
        <w:t xml:space="preserve">Critical — Requires Immediate Attention</w:t>
      </w:r>
    </w:p>
    <w:bookmarkStart w:id="14" w:name="Xad0a58666e02f475bddd9fc52e4ef588102948b"/>
    <w:p>
      <w:pPr>
        <w:pStyle w:val="Heading3"/>
      </w:pPr>
      <w:r>
        <w:t xml:space="preserve">TD-01 — Authorisation enforced on only part of the API surface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Debt</w:t>
            </w:r>
          </w:p>
        </w:tc>
        <w:tc>
          <w:tcPr/>
          <w:p>
            <w:pPr>
              <w:pStyle w:val="Compact"/>
            </w:pPr>
            <w:r>
              <w:t xml:space="preserve">A session layer now exists — HMAC-SHA256 signed tokens, HTTP-only cookie, seven-day expiry, and a</w:t>
            </w:r>
            <w:r>
              <w:t xml:space="preserve"> </w:t>
            </w:r>
            <w:r>
              <w:rPr>
                <w:rStyle w:val="VerbatimChar"/>
              </w:rPr>
              <w:t xml:space="preserve">requireAuth(req, roles)</w:t>
            </w:r>
            <w:r>
              <w:t xml:space="preserve"> </w:t>
            </w:r>
            <w:r>
              <w:t xml:space="preserve">guard returning 401/403.</w:t>
            </w:r>
            <w:r>
              <w:t xml:space="preserve"> </w:t>
            </w:r>
            <w:r>
              <w:rPr>
                <w:b/>
                <w:bCs/>
              </w:rPr>
              <w:t xml:space="preserve">It is applied to 7 of 28 route handlers.</w:t>
            </w:r>
            <w:r>
              <w:t xml:space="preserve"> </w:t>
            </w:r>
            <w:r>
              <w:t xml:space="preserve">The remaining 21 still accept a caller-supplied identifier and act on it without verifying who is asking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The session layer was estimated at 4–6 hours and initially deferred in favour of the safety-critical triage work. It was subsequently built, but retrofitting the guard across every existing handler is a separate pass that is still in progress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Severe while incomplete.</w:t>
            </w:r>
            <w:r>
              <w:t xml:space="preserve"> </w:t>
            </w:r>
            <w:r>
              <w:t xml:space="preserve">Unguarded routes include appointments (POST), profile, notifications, triage, the consultation room and every AI endpoint. A caller who can reach those can read or modify another user's records, including health data. OWASP A01:2021 Broken Access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 — blocks any deployment holding real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Apply</w:t>
            </w:r>
            <w:r>
              <w:t xml:space="preserve"> </w:t>
            </w:r>
            <w:r>
              <w:rPr>
                <w:rStyle w:val="VerbatimChar"/>
              </w:rPr>
              <w:t xml:space="preserve">requireAuth</w:t>
            </w:r>
            <w:r>
              <w:t xml:space="preserve"> </w:t>
            </w:r>
            <w:r>
              <w:t xml:space="preserve">to the remaining 21 handlers and enforce record ownership, not merely authentication — a signed-in patient must not be able to read another patient's appointment by changing an identifier. Prefer a single middleware that denies by default, so a newly added route is protected unless explicitly opened. Estimated 5–6 hours</w:t>
            </w:r>
          </w:p>
        </w:tc>
      </w:tr>
    </w:tbl>
    <w:p>
      <w:pPr>
        <w:pStyle w:val="BodyText"/>
      </w:pPr>
      <w:r>
        <w:t xml:space="preserve">Stated plainly: the mechanism is now correct; its coverage is not. Until the</w:t>
      </w:r>
      <w:r>
        <w:t xml:space="preserve"> </w:t>
      </w:r>
      <w:r>
        <w:t xml:space="preserve">remaining handlers are guarded, the deployment notice against entering real</w:t>
      </w:r>
      <w:r>
        <w:t xml:space="preserve"> </w:t>
      </w:r>
      <w:r>
        <w:t xml:space="preserve">personal or medical data stands.</w:t>
      </w:r>
    </w:p>
    <w:p>
      <w:pPr>
        <w:pStyle w:val="BlockText"/>
      </w:pPr>
      <w:r>
        <w:rPr>
          <w:b/>
          <w:bCs/>
        </w:rPr>
        <w:t xml:space="preserve">Note on currency.</w:t>
      </w:r>
      <w:r>
        <w:t xml:space="preserve"> </w:t>
      </w:r>
      <w:r>
        <w:t xml:space="preserve">Route protection was being extended while this document</w:t>
      </w:r>
      <w:r>
        <w:t xml:space="preserve"> </w:t>
      </w:r>
      <w:r>
        <w:t xml:space="preserve">was written. The figure above (7 of 28) was measured on the working tree at</w:t>
      </w:r>
      <w:r>
        <w:t xml:space="preserve"> </w:t>
      </w:r>
      <w:r>
        <w:t xml:space="preserve">the time of submission and should be re-measured with:</w:t>
      </w:r>
      <w:r>
        <w:t xml:space="preserve"> </w:t>
      </w:r>
      <w:r>
        <w:rPr>
          <w:rStyle w:val="VerbatimChar"/>
        </w:rPr>
        <w:t xml:space="preserve">grep -rl "requireAuth\|getSessionUser" src/app/api | wc -l</w:t>
      </w:r>
    </w:p>
    <w:bookmarkEnd w:id="14"/>
    <w:bookmarkStart w:id="15" w:name="td-02--credentials-remain-in-git-history"/>
    <w:p>
      <w:pPr>
        <w:pStyle w:val="Heading3"/>
      </w:pPr>
      <w:r>
        <w:t xml:space="preserve">TD-02 — Credentials remain in Git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Debt</w:t>
            </w:r>
          </w:p>
        </w:tc>
        <w:tc>
          <w:tcPr/>
          <w:p>
            <w:pPr>
              <w:pStyle w:val="Compact"/>
            </w:pPr>
            <w:r>
              <w:t xml:space="preserve">An inference API key was committed early in the project. It has been removed from the working tree, but remains retrievable from earlier commits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A convenience fallback added during initial development so the AI features worked without configuration, committed before its significance was considered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High.</w:t>
            </w:r>
            <w:r>
              <w:t xml:space="preserve"> </w:t>
            </w:r>
            <w:r>
              <w:t xml:space="preserve">Anyone who clones the repository can recover the key from history and consume the associated quota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Rotate the key at the provider first — this alone neutralises the exposure. Then rewrite history with</w:t>
            </w:r>
            <w:r>
              <w:t xml:space="preserve"> </w:t>
            </w:r>
            <w:r>
              <w:rPr>
                <w:rStyle w:val="VerbatimChar"/>
              </w:rPr>
              <w:t xml:space="preserve">git filter-repo</w:t>
            </w:r>
            <w:r>
              <w:t xml:space="preserve"> </w:t>
            </w:r>
            <w:r>
              <w:t xml:space="preserve">and force-push. Rotation is 10 minutes; the history purge is about an hour and requires coordination with anyone holding a clone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Preventive control already in place.</w:t>
      </w:r>
      <w:r>
        <w:t xml:space="preserve"> </w:t>
      </w:r>
      <w:r>
        <w:rPr>
          <w:rStyle w:val="VerbatimChar"/>
        </w:rPr>
        <w:t xml:space="preserve">npm run scan:secrets</w:t>
      </w:r>
      <w:r>
        <w:t xml:space="preserve"> </w:t>
      </w:r>
      <w:r>
        <w:t xml:space="preserve">scans the full</w:t>
      </w:r>
      <w:r>
        <w:t xml:space="preserve"> </w:t>
      </w:r>
      <w:r>
        <w:t xml:space="preserve">tree and is wired into a pre-commit hook, so a recurrence requires deliberate</w:t>
      </w:r>
      <w:r>
        <w:t xml:space="preserve"> </w:t>
      </w:r>
      <w:r>
        <w:t xml:space="preserve">override. The scan currently reports clean.</w:t>
      </w:r>
    </w:p>
    <w:bookmarkEnd w:id="15"/>
    <w:bookmarkStart w:id="16" w:name="X6e90a2bca8cee9474ba548085b3e80e321cacba"/>
    <w:p>
      <w:pPr>
        <w:pStyle w:val="Heading3"/>
      </w:pPr>
      <w:r>
        <w:t xml:space="preserve">TD-03 — Unsigned session copy retained in browser local storage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Debt</w:t>
            </w:r>
          </w:p>
        </w:tc>
        <w:tc>
          <w:tcPr/>
          <w:p>
            <w:pPr>
              <w:pStyle w:val="Compact"/>
            </w:pPr>
            <w:r>
              <w:t xml:space="preserve">Session state is now carried by a signed HTTP-only cookie, but an unsigned copy of the user profile is still mirrored into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and is trusted to restore the session when</w:t>
            </w:r>
            <w:r>
              <w:t xml:space="preserve"> </w:t>
            </w:r>
            <w:r>
              <w:rPr>
                <w:rStyle w:val="VerbatimChar"/>
              </w:rPr>
              <w:t xml:space="preserve">/api/auth/me</w:t>
            </w:r>
            <w:r>
              <w:t xml:space="preserve"> </w:t>
            </w:r>
            <w:r>
              <w:t xml:space="preserve">cannot be reached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copy predates the cookie and was retained as an offline fallback rather than removed when the token layer landed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 — reduced from High.</w:t>
            </w:r>
            <w:r>
              <w:t xml:space="preserve"> </w:t>
            </w:r>
            <w:r>
              <w:t xml:space="preserve">Editing the stored copy now yields only a misleading interface: any guarded route rejects the forged identity, because the server trusts the cookie rather than the client's claim. The residual risk is that unguarded routes (TD-01) still act on client-supplied identifiers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 — closes with TD-01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Remove the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fallback and treat</w:t>
            </w:r>
            <w:r>
              <w:t xml:space="preserve"> </w:t>
            </w:r>
            <w:r>
              <w:rPr>
                <w:rStyle w:val="VerbatimChar"/>
              </w:rPr>
              <w:t xml:space="preserve">/api/auth/me</w:t>
            </w:r>
            <w:r>
              <w:t xml:space="preserve"> </w:t>
            </w:r>
            <w:r>
              <w:t xml:space="preserve">as the sole source of session truth; show a signed-out state if it cannot be reached. Add</w:t>
            </w:r>
            <w:r>
              <w:t xml:space="preserve"> </w:t>
            </w:r>
            <w:r>
              <w:rPr>
                <w:rStyle w:val="VerbatimChar"/>
              </w:rPr>
              <w:t xml:space="preserve">SameSite=Strict</w:t>
            </w:r>
            <w:r>
              <w:t xml:space="preserve"> </w:t>
            </w:r>
            <w:r>
              <w:t xml:space="preserve">and shorten the seven-day expiry with a refresh. Estimated 2 hours</w:t>
            </w:r>
          </w:p>
        </w:tc>
      </w:tr>
    </w:tbl>
    <w:bookmarkEnd w:id="16"/>
    <w:bookmarkStart w:id="17" w:name="X6d380df989bc7de2f56d11a887a445afad5e131"/>
    <w:p>
      <w:pPr>
        <w:pStyle w:val="Heading3"/>
      </w:pPr>
      <w:r>
        <w:t xml:space="preserve">TD-21 — Session signing key has a published fallback value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  <w:r>
              <w:t xml:space="preserve"> </w:t>
            </w:r>
            <w:r>
              <w:t xml:space="preserve">falls back to a string literal held in the repository when the environment variable is unset. Session tokens are signed with that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A convenience default so a fresh clone runs without configuration — the same pattern that produced TD-02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Severe if it reaches a deployment.</w:t>
            </w:r>
            <w:r>
              <w:t xml:space="preserve"> </w:t>
            </w:r>
            <w:r>
              <w:t xml:space="preserve">Anyone with the repository can forge a valid session token for any user and any role, which defeats the session layer entirely and would also defeat the TD-01 remediation built on top of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JWT_SECRET</w:t>
            </w:r>
            <w:r>
              <w:t xml:space="preserve"> </w:t>
            </w:r>
            <w:r>
              <w:t xml:space="preserve">in every deployed environment and verify it is present. Then remove the fallback and fail closed at start-up rather than signing with a known key. A start-up warning is already emitted when the fallback is in use under</w:t>
            </w:r>
            <w:r>
              <w:t xml:space="preserve"> </w:t>
            </w:r>
            <w:r>
              <w:rPr>
                <w:rStyle w:val="VerbatimChar"/>
              </w:rPr>
              <w:t xml:space="preserve">NODE_ENV=production</w:t>
            </w:r>
            <w:r>
              <w:t xml:space="preserve">; that is a detection aid, not a fix. Estimated 1 hour</w:t>
            </w:r>
          </w:p>
        </w:tc>
      </w:tr>
    </w:tbl>
    <w:p>
      <w:pPr>
        <w:pStyle w:val="BodyText"/>
      </w:pPr>
      <w:r>
        <w:t xml:space="preserve">This item was found while documenting the session layer, not during</w:t>
      </w:r>
      <w:r>
        <w:t xml:space="preserve"> </w:t>
      </w:r>
      <w:r>
        <w:t xml:space="preserve">implementation. It is recorded here rather than quietly patched because the</w:t>
      </w:r>
      <w:r>
        <w:t xml:space="preserve"> </w:t>
      </w:r>
      <w:r>
        <w:t xml:space="preserve">class of fault — a convenient default that becomes a production secret — has now</w:t>
      </w:r>
      <w:r>
        <w:t xml:space="preserve"> </w:t>
      </w:r>
      <w:r>
        <w:t xml:space="preserve">occurred twice in this project, and that pattern is worth naming.</w:t>
      </w:r>
    </w:p>
    <w:bookmarkEnd w:id="17"/>
    <w:bookmarkEnd w:id="18"/>
    <w:bookmarkStart w:id="28" w:name="scheduled-for-resolution"/>
    <w:p>
      <w:pPr>
        <w:pStyle w:val="Heading2"/>
      </w:pPr>
      <w:r>
        <w:t xml:space="preserve">Scheduled for Resolution</w:t>
      </w:r>
    </w:p>
    <w:bookmarkStart w:id="19" w:name="Xbd2d953409653555f754fe9d29abb177bc028b6"/>
    <w:p>
      <w:pPr>
        <w:pStyle w:val="Heading3"/>
      </w:pPr>
      <w:r>
        <w:t xml:space="preserve">TD-04 — Administrator rule edits are session-scoped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Debt</w:t>
            </w:r>
          </w:p>
        </w:tc>
        <w:tc>
          <w:tcPr/>
          <w:p>
            <w:pPr>
              <w:pStyle w:val="Compact"/>
            </w:pPr>
            <w:r>
              <w:t xml:space="preserve">The administrator's rule configurator edits an in-memory copy. Changes are lost on reload and never reach the patient-facing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Persisting rules requires a schema table, migration, an editing API and cache invalidation — roughly a day. The rule</w:t>
            </w:r>
            <w:r>
              <w:t xml:space="preserve"> </w:t>
            </w:r>
            <w:r>
              <w:rPr>
                <w:i/>
                <w:iCs/>
              </w:rPr>
              <w:t xml:space="preserve">engine</w:t>
            </w:r>
            <w:r>
              <w:t xml:space="preserve"> </w:t>
            </w:r>
            <w:r>
              <w:t xml:space="preserve">reading rules as data was the requirement (FR-2.3); the editor was a Should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Medium.</w:t>
            </w:r>
            <w:r>
              <w:t xml:space="preserve"> </w:t>
            </w:r>
            <w:r>
              <w:t xml:space="preserve">The screen implies a capability the system does not have. Misleading rather than dangerous, since patient-facing behaviour is unaffected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Add a</w:t>
            </w:r>
            <w:r>
              <w:t xml:space="preserve"> </w:t>
            </w:r>
            <w:r>
              <w:rPr>
                <w:rStyle w:val="VerbatimChar"/>
              </w:rPr>
              <w:t xml:space="preserve">triage_rules</w:t>
            </w:r>
            <w:r>
              <w:t xml:space="preserve"> </w:t>
            </w:r>
            <w:r>
              <w:t xml:space="preserve">table, seed it from the current constants, and read through it. Label the screen read-only until then. Estimated 8 hours</w:t>
            </w:r>
          </w:p>
        </w:tc>
      </w:tr>
    </w:tbl>
    <w:bookmarkEnd w:id="19"/>
    <w:bookmarkStart w:id="20" w:name="Xcae6657c4da0b70037957c432af888a26354165"/>
    <w:p>
      <w:pPr>
        <w:pStyle w:val="Heading3"/>
      </w:pPr>
      <w:r>
        <w:t xml:space="preserve">TD-05 — No e-mail verification and no password reset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Debt</w:t>
            </w:r>
          </w:p>
        </w:tc>
        <w:tc>
          <w:tcPr/>
          <w:p>
            <w:pPr>
              <w:pStyle w:val="Compact"/>
            </w:pPr>
            <w:r>
              <w:t xml:space="preserve">E-mail addresses are unverified, and a user who forgets their password cannot recover the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Both need an e-mail gateway, deliberately excluded from scope (see TD-12)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Medium.</w:t>
            </w:r>
            <w:r>
              <w:t xml:space="preserve"> </w:t>
            </w:r>
            <w:r>
              <w:t xml:space="preserve">Accounts can be registered against addresses the registrant does not control; lockout is permanent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Deliver with the e-mail work in v1.2: verification token on registration, time-limited single-use reset link. Estimated 6 hours once a gateway exists</w:t>
            </w:r>
          </w:p>
        </w:tc>
      </w:tr>
    </w:tbl>
    <w:bookmarkEnd w:id="20"/>
    <w:bookmarkStart w:id="21" w:name="Xe7f8d2f3d4ef18b36957102e019a7f171459227"/>
    <w:p>
      <w:pPr>
        <w:pStyle w:val="Heading3"/>
      </w:pPr>
      <w:r>
        <w:t xml:space="preserve">TD-08 — Read access to patient data is not comprehensively audited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Debt</w:t>
            </w:r>
          </w:p>
        </w:tc>
        <w:tc>
          <w:tcPr/>
          <w:p>
            <w:pPr>
              <w:pStyle w:val="Compact"/>
            </w:pPr>
            <w:r>
              <w:t xml:space="preserve">Writes are audited thoroughly. Reads of patient data — a clinician opening an intake record — are not consistently recorded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Write auditing was implemented first as the higher-value case; read auditing was not reached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Medium.</w:t>
            </w:r>
            <w:r>
              <w:t xml:space="preserve"> </w:t>
            </w:r>
            <w:r>
              <w:t xml:space="preserve">A governance review can establish what changed, but not who looked. Inappropriate access would leave no trace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Add an audit write to every PHI read path, with a retention policy so the table does not grow without bound. Estimated 4 hours</w:t>
            </w:r>
          </w:p>
        </w:tc>
      </w:tr>
    </w:tbl>
    <w:bookmarkEnd w:id="21"/>
    <w:bookmarkStart w:id="22" w:name="Xe4a3978786d486401389d0e09c365a95806588a"/>
    <w:p>
      <w:pPr>
        <w:pStyle w:val="Heading3"/>
      </w:pPr>
      <w:r>
        <w:t xml:space="preserve">TD-11 — Payment settlement is fully simulated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Debt</w:t>
            </w:r>
          </w:p>
        </w:tc>
        <w:tc>
          <w:tcPr/>
          <w:p>
            <w:pPr>
              <w:pStyle w:val="Compact"/>
            </w:pPr>
            <w:r>
              <w:t xml:space="preserve">Checkout produces realistic references and status transitions without contacting any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A deliberate scope decision recorded in</w:t>
            </w:r>
            <w:r>
              <w:t xml:space="preserve"> </w:t>
            </w:r>
            <w:r>
              <w:rPr>
                <w:rStyle w:val="VerbatimChar"/>
              </w:rPr>
              <w:t xml:space="preserve">Project_Documentation.docx</w:t>
            </w:r>
            <w:r>
              <w:t xml:space="preserve"> </w:t>
            </w:r>
            <w:r>
              <w:t xml:space="preserve">§7.5. No merchant account was available, and integration — onboarding, credentials, webhooks, reconciliation — dominates the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 as a demonstrator, total as a product.</w:t>
            </w:r>
            <w:r>
              <w:t xml:space="preserve"> </w:t>
            </w:r>
            <w:r>
              <w:t xml:space="preserve">No money moves. The interface states this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Implement a real provider behind the existing payment interface, which was shaped for the substitution. Add webhook handling and reconciliation. Estimated 16 hours plus merchant onboarding</w:t>
            </w:r>
          </w:p>
        </w:tc>
      </w:tr>
    </w:tbl>
    <w:bookmarkEnd w:id="22"/>
    <w:bookmarkStart w:id="23" w:name="X794d4071ecb7c7454b45322d3016af3f63ce6b7"/>
    <w:p>
      <w:pPr>
        <w:pStyle w:val="Heading3"/>
      </w:pPr>
      <w:r>
        <w:t xml:space="preserve">TD-12 — Notification delivery is in-application only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Debt</w:t>
            </w:r>
          </w:p>
        </w:tc>
        <w:tc>
          <w:tcPr/>
          <w:p>
            <w:pPr>
              <w:pStyle w:val="Compact"/>
            </w:pPr>
            <w:r>
              <w:t xml:space="preserve">Notifications are rows shown in the application. No e-mail or SMS is sent. Appointment reminders are written at booking time rather than dispatched at the reminder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No gateway, and no scheduler in a serverless model without additional infrastructure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Medium.</w:t>
            </w:r>
            <w:r>
              <w:t xml:space="preserve"> </w:t>
            </w:r>
            <w:r>
              <w:t xml:space="preserve">A patient who does not open the application receives no reminder — which is precisely when a reminder matters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Add a transactional e-mail provider and an SMS gateway; move dispatch to a scheduled job so reminders fire at the right time. Estimated 12 hours</w:t>
            </w:r>
          </w:p>
        </w:tc>
      </w:tr>
    </w:tbl>
    <w:bookmarkEnd w:id="23"/>
    <w:bookmarkStart w:id="24" w:name="Xe9cb864794fcd32a18d507f6c91018f5450df86"/>
    <w:p>
      <w:pPr>
        <w:pStyle w:val="Heading3"/>
      </w:pPr>
      <w:r>
        <w:t xml:space="preserve">TD-13 — Internal error detail reaches the client on some paths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Debt</w:t>
            </w:r>
          </w:p>
        </w:tc>
        <w:tc>
          <w:tcPr/>
          <w:p>
            <w:pPr>
              <w:pStyle w:val="Compact"/>
            </w:pPr>
            <w:r>
              <w:t xml:space="preserve">Several handlers return the caught error's message directly in the response body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Convenience during development, when seeing the real error in the browser was worth the exposure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Medium.</w:t>
            </w:r>
            <w:r>
              <w:t xml:space="preserve"> </w:t>
            </w:r>
            <w:r>
              <w:t xml:space="preserve">Leaks internal structure that assists an attacker. OWASP A05:2021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Return a correlation identifier and a generic message; log the detail server-side. Estimated 3 hours</w:t>
            </w:r>
          </w:p>
        </w:tc>
      </w:tr>
    </w:tbl>
    <w:bookmarkEnd w:id="24"/>
    <w:bookmarkStart w:id="25" w:name="X52af6a0f53c643b6f264f6c7a6c7e254e8b9391"/>
    <w:p>
      <w:pPr>
        <w:pStyle w:val="Heading3"/>
      </w:pPr>
      <w:r>
        <w:t xml:space="preserve">TD-14 — Monetary amounts stored as floating point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Debt</w:t>
            </w:r>
          </w:p>
        </w:tc>
        <w:tc>
          <w:tcPr/>
          <w:p>
            <w:pPr>
              <w:pStyle w:val="Compact"/>
            </w:pPr>
            <w:r>
              <w:t xml:space="preserve">Fees and payment amounts use</w:t>
            </w:r>
            <w:r>
              <w:t xml:space="preserve"> </w:t>
            </w:r>
            <w:r>
              <w:rPr>
                <w:rStyle w:val="VerbatimChar"/>
              </w:rPr>
              <w:t xml:space="preserve">Float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The default numeric type; chosen without deliberation early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Medium, latent.</w:t>
            </w:r>
            <w:r>
              <w:t xml:space="preserve"> </w:t>
            </w:r>
            <w:r>
              <w:t xml:space="preserve">Binary floating point cannot represent decimal currency exactly. Harmless at demonstration volume; produces reconciliation discrepancies at scale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 — cheap now, expensive after real transactions exist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Migrate to</w:t>
            </w:r>
            <w:r>
              <w:t xml:space="preserve"> </w:t>
            </w:r>
            <w:r>
              <w:rPr>
                <w:rStyle w:val="VerbatimChar"/>
              </w:rPr>
              <w:t xml:space="preserve">Decimal(10,2)</w:t>
            </w:r>
            <w:r>
              <w:t xml:space="preserve">, or store minor units as integers. Estimated 3 hours now; considerably more once live data must be migrated</w:t>
            </w:r>
          </w:p>
        </w:tc>
      </w:tr>
    </w:tbl>
    <w:bookmarkEnd w:id="25"/>
    <w:bookmarkStart w:id="26" w:name="X5002b4646af7938ac0f2caefbd9d09d49f5c63e"/>
    <w:p>
      <w:pPr>
        <w:pStyle w:val="Heading3"/>
      </w:pPr>
      <w:r>
        <w:t xml:space="preserve">TD-15 — No data-processing agreement covering inference calls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Debt</w:t>
            </w:r>
          </w:p>
        </w:tc>
        <w:tc>
          <w:tcPr/>
          <w:p>
            <w:pPr>
              <w:pStyle w:val="Compact"/>
            </w:pPr>
            <w:r>
              <w:t xml:space="preserve">Consultation context is sent to a third-party inference provider with no data-processing agreement and no de-identification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Not considered until the AI features were already working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 in a real deployment.</w:t>
            </w:r>
            <w:r>
              <w:t xml:space="preserve"> </w:t>
            </w:r>
            <w:r>
              <w:t xml:space="preserve">Sending identifiable health data to a third party without a lawful basis would breach the Data Protection Act. Currently mitigated only because the data is synthetic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 now; P1 the moment real data exists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Execute a processing agreement, or self-host the model. De-identify context before transmission. Add explicit patient consent for AI-assisted documentation. Estimated 6 hours plus legal time</w:t>
            </w:r>
          </w:p>
        </w:tc>
      </w:tr>
    </w:tbl>
    <w:bookmarkEnd w:id="26"/>
    <w:bookmarkStart w:id="27" w:name="X126847c297855b24879d922321cc2b94fc81777"/>
    <w:p>
      <w:pPr>
        <w:pStyle w:val="Heading3"/>
      </w:pPr>
      <w:r>
        <w:t xml:space="preserve">TD-17 — No rate limiting on authentication or inference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Debt</w:t>
            </w:r>
          </w:p>
        </w:tc>
        <w:tc>
          <w:tcPr/>
          <w:p>
            <w:pPr>
              <w:pStyle w:val="Compact"/>
            </w:pPr>
            <w:r>
              <w:t xml:space="preserve">Sign-in, registration and the AI routes accept unlimited requests from any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Not reached within the window; would require either in-process state or a shared 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Medium.</w:t>
            </w:r>
            <w:r>
              <w:t xml:space="preserve"> </w:t>
            </w:r>
            <w:r>
              <w:t xml:space="preserve">Sign-in is open to unthrottled credential guessing. The AI routes are unauthenticated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incur real inference cost per call, so a third party can spend the project's quota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Add a fixed-window limiter keyed by address and account for authentication, and a tighter per-user limit on inference. In-process is sufficient for a single instance; a shared store is needed once horizontally scaled. Estimated 4 hours</w:t>
            </w:r>
          </w:p>
        </w:tc>
      </w:tr>
    </w:tbl>
    <w:bookmarkEnd w:id="27"/>
    <w:bookmarkEnd w:id="28"/>
    <w:bookmarkStart w:id="34" w:name="acceptable-temporarily"/>
    <w:p>
      <w:pPr>
        <w:pStyle w:val="Heading2"/>
      </w:pPr>
      <w:r>
        <w:t xml:space="preserve">Acceptable Temporarily</w:t>
      </w:r>
    </w:p>
    <w:bookmarkStart w:id="29" w:name="Xc71f5e93047e8d3b58c2f8dd6c59ab8c0054f7b"/>
    <w:p>
      <w:pPr>
        <w:pStyle w:val="Heading3"/>
      </w:pPr>
      <w:r>
        <w:t xml:space="preserve">TD-09 — No accessibility audit with assistive technology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Debt</w:t>
            </w:r>
          </w:p>
        </w:tc>
        <w:tc>
          <w:tcPr/>
          <w:p>
            <w:pPr>
              <w:pStyle w:val="Compact"/>
            </w:pPr>
            <w:r>
              <w:t xml:space="preserve">WCAG 2.1 AA was designed for and contrast was measured, but no audit with a screen reader or keyboard-only navigation has been performed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No time and no access to assistive technology within the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Medium.</w:t>
            </w:r>
            <w:r>
              <w:t xml:space="preserve"> </w:t>
            </w:r>
            <w:r>
              <w:t xml:space="preserve">Contrast is verified across all colour pairs; semantics, focus order and announcements are unverified. Conformance cannot be claimed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Automated axe pass, then manual testing with NVDA and VoiceOver, then remediation. Estimated 8 hours</w:t>
            </w:r>
          </w:p>
        </w:tc>
      </w:tr>
    </w:tbl>
    <w:bookmarkEnd w:id="29"/>
    <w:bookmarkStart w:id="30" w:name="Xb3afe2ad57858da7805ae22cff3bc9eb725f961"/>
    <w:p>
      <w:pPr>
        <w:pStyle w:val="Heading3"/>
      </w:pPr>
      <w:r>
        <w:t xml:space="preserve">TD-16 — Unused Tailwind dependency and configuration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tailwindcss</w:t>
            </w:r>
            <w:r>
              <w:t xml:space="preserve"> </w:t>
            </w:r>
            <w:r>
              <w:t xml:space="preserve">is installed and</w:t>
            </w:r>
            <w:r>
              <w:t xml:space="preserve"> </w:t>
            </w:r>
            <w:r>
              <w:rPr>
                <w:rStyle w:val="VerbatimChar"/>
              </w:rPr>
              <w:t xml:space="preserve">tailwind.config.ts</w:t>
            </w:r>
            <w:r>
              <w:t xml:space="preserve"> </w:t>
            </w:r>
            <w:r>
              <w:t xml:space="preserve">exists, but the stylesheet contains no</w:t>
            </w:r>
            <w:r>
              <w:t xml:space="preserve"> </w:t>
            </w:r>
            <w:r>
              <w:rPr>
                <w:rStyle w:val="VerbatimChar"/>
              </w:rPr>
              <w:t xml:space="preserve">@tailwind</w:t>
            </w:r>
            <w:r>
              <w:t xml:space="preserve"> </w:t>
            </w:r>
            <w:r>
              <w:t xml:space="preserve">directive. The interface is Bootstrap plus hand-written CSS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A stack decision reversed early in the project; the dependency was never removed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Low.</w:t>
            </w:r>
            <w:r>
              <w:t xml:space="preserve"> </w:t>
            </w:r>
            <w:r>
              <w:t xml:space="preserve">Misleads a reader about the styling approach and carries needless install weight. It is why the deployment notes explicitly correct the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Remove the dependency, the config file and the PostCSS entry. Estimated 30 minutes</w:t>
            </w:r>
          </w:p>
        </w:tc>
      </w:tr>
    </w:tbl>
    <w:bookmarkEnd w:id="30"/>
    <w:bookmarkStart w:id="31" w:name="X08df90d97d09dd2f0dc2ca290198a0683e42927"/>
    <w:p>
      <w:pPr>
        <w:pStyle w:val="Heading3"/>
      </w:pPr>
      <w:r>
        <w:t xml:space="preserve">TD-18 — No caching on read-heavy public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Debt</w:t>
            </w:r>
          </w:p>
        </w:tc>
        <w:tc>
          <w:tcPr/>
          <w:p>
            <w:pPr>
              <w:pStyle w:val="Compact"/>
            </w:pPr>
            <w:r>
              <w:t xml:space="preserve">The clinician directory, specialisation list and public statistics are recomputed on every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Not required at current volume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 now.</w:t>
            </w:r>
            <w:r>
              <w:t xml:space="preserve"> </w:t>
            </w:r>
            <w:r>
              <w:t xml:space="preserve">Unnecessary database load; would become material under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Add time-based revalidation to the three public read endpoints. Estimated 2 hours</w:t>
            </w:r>
          </w:p>
        </w:tc>
      </w:tr>
    </w:tbl>
    <w:bookmarkEnd w:id="31"/>
    <w:bookmarkStart w:id="32" w:name="Xd3aba2cd5cc9723a2a9a1726485668c5fc4008a"/>
    <w:p>
      <w:pPr>
        <w:pStyle w:val="Heading3"/>
      </w:pPr>
      <w:r>
        <w:t xml:space="preserve">TD-19 — No idempotency keys on payment and booking writes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Debt</w:t>
            </w:r>
          </w:p>
        </w:tc>
        <w:tc>
          <w:tcPr/>
          <w:p>
            <w:pPr>
              <w:pStyle w:val="Compact"/>
            </w:pPr>
            <w:r>
              <w:t xml:space="preserve">A retried or double-submitted payment request can write two payment rows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Not reached. Partially mitigated for booking by the</w:t>
            </w:r>
            <w:r>
              <w:t xml:space="preserve"> </w:t>
            </w:r>
            <w:r>
              <w:rPr>
                <w:rStyle w:val="VerbatimChar"/>
              </w:rPr>
              <w:t xml:space="preserve">slot_key</w:t>
            </w:r>
            <w:r>
              <w:t xml:space="preserve"> </w:t>
            </w:r>
            <w:r>
              <w:t xml:space="preserve">constraint, which rejects the duplicate appointment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 now, higher once payments are real.</w:t>
            </w:r>
            <w:r>
              <w:t xml:space="preserve"> </w:t>
            </w:r>
            <w:r>
              <w:t xml:space="preserve">Duplicate payment records complicate reconciliation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 now; P2 alongside TD-11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Accept a client-supplied idempotency key on write endpoints; store and replay the first response. Estimated 4 hours</w:t>
            </w:r>
          </w:p>
        </w:tc>
      </w:tr>
    </w:tbl>
    <w:bookmarkEnd w:id="32"/>
    <w:bookmarkStart w:id="33" w:name="X5d2b735895c5f029919bee6ba5a0d49cfa7b5a0"/>
    <w:p>
      <w:pPr>
        <w:pStyle w:val="Heading3"/>
      </w:pPr>
      <w:r>
        <w:t xml:space="preserve">TD-20 — No automated end-to-end browser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Debt</w:t>
            </w:r>
          </w:p>
        </w:tc>
        <w:tc>
          <w:tcPr/>
          <w:p>
            <w:pPr>
              <w:pStyle w:val="Compact"/>
            </w:pPr>
            <w:r>
              <w:t xml:space="preserve">Unit and integration testing are automated. System and acceptance testing were performed manually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Setting up a browser automation harness competed with writing the features it would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Impact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 as the system grows.</w:t>
            </w:r>
            <w:r>
              <w:t xml:space="preserve"> </w:t>
            </w:r>
            <w:r>
              <w:t xml:space="preserve">Manual regression does not scale, and the safety-critical journey is exactly the one that must never silently break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Add Playwright covering the three role journeys, with the red-flag path first. Run in continuous integration. Estimated 10 hours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9" w:name="X0373f84e95a374cc4e78d349a0883fe0e1741d6"/>
    <w:p>
      <w:pPr>
        <w:pStyle w:val="Heading1"/>
      </w:pPr>
      <w:r>
        <w:t xml:space="preserve">3. Repayment Plan</w:t>
      </w:r>
    </w:p>
    <w:bookmarkStart w:id="36" w:name="Xec24961c1d986dac05c1e501666b767139518cd"/>
    <w:p>
      <w:pPr>
        <w:pStyle w:val="Heading2"/>
      </w:pPr>
      <w:r>
        <w:t xml:space="preserve">3.1 Sequencing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Harm first.</w:t>
      </w:r>
      <w:r>
        <w:t xml:space="preserve"> </w:t>
      </w:r>
      <w:r>
        <w:t xml:space="preserve">Anything that could injure a patient or expose their data</w:t>
      </w:r>
      <w:r>
        <w:t xml:space="preserve"> </w:t>
      </w:r>
      <w:r>
        <w:t xml:space="preserve">outranks everything else.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Cheap-now-expensive-later next.</w:t>
      </w:r>
      <w:r>
        <w:t xml:space="preserve"> </w:t>
      </w:r>
      <w:r>
        <w:t xml:space="preserve">TD-14 costs three hours today and a data</w:t>
      </w:r>
      <w:r>
        <w:t xml:space="preserve"> </w:t>
      </w:r>
      <w:r>
        <w:t xml:space="preserve">migration after go-live. Deferring it is the worst value in the register.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Repay in coherent groups.</w:t>
      </w:r>
      <w:r>
        <w:t xml:space="preserve"> </w:t>
      </w:r>
      <w:r>
        <w:t xml:space="preserve">TD-01 and TD-03 are one piece of work. TD-05 and</w:t>
      </w:r>
      <w:r>
        <w:t xml:space="preserve"> </w:t>
      </w:r>
      <w:r>
        <w:t xml:space="preserve">TD-12 both wait on an e-mail gateway.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Preventive controls before repayment.</w:t>
      </w:r>
      <w:r>
        <w:t xml:space="preserve"> </w:t>
      </w:r>
      <w:r>
        <w:t xml:space="preserve">The secret scanner was added before</w:t>
      </w:r>
      <w:r>
        <w:t xml:space="preserve"> </w:t>
      </w:r>
      <w:r>
        <w:t xml:space="preserve">TD-02 was fully repaid, so the class of fault cannot recur while the instance</w:t>
      </w:r>
      <w:r>
        <w:t xml:space="preserve"> </w:t>
      </w:r>
      <w:r>
        <w:t xml:space="preserve">is outstanding.</w:t>
      </w:r>
    </w:p>
    <w:bookmarkEnd w:id="36"/>
    <w:bookmarkStart w:id="37" w:name="Xc39cb9508438e584ba448837827c983496e21cd"/>
    <w:p>
      <w:pPr>
        <w:pStyle w:val="Heading2"/>
      </w:pPr>
      <w:r>
        <w:t xml:space="preserve">3.2 Release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Release</w:t>
            </w:r>
          </w:p>
        </w:tc>
        <w:tc>
          <w:tcPr/>
          <w:p>
            <w:pPr>
              <w:pStyle w:val="Compact"/>
            </w:pPr>
            <w:r>
              <w:t xml:space="preserve">Theme</w:t>
            </w:r>
          </w:p>
        </w:tc>
        <w:tc>
          <w:tcPr/>
          <w:p>
            <w:pPr>
              <w:pStyle w:val="Compact"/>
            </w:pPr>
            <w:r>
              <w:t xml:space="preserve">Items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v1.1</w:t>
            </w:r>
          </w:p>
        </w:tc>
        <w:tc>
          <w:tcPr/>
          <w:p>
            <w:pPr>
              <w:pStyle w:val="Compact"/>
            </w:pPr>
            <w:r>
              <w:t xml:space="preserve">Safe to hold real data</w:t>
            </w:r>
          </w:p>
        </w:tc>
        <w:tc>
          <w:tcPr/>
          <w:p>
            <w:pPr>
              <w:pStyle w:val="Compact"/>
            </w:pPr>
            <w:r>
              <w:t xml:space="preserve">TD-01, TD-02, TD-03, TD-13, TD-17, TD-21</w:t>
            </w:r>
          </w:p>
        </w:tc>
        <w:tc>
          <w:tcPr/>
          <w:p>
            <w:pPr>
              <w:pStyle w:val="Compact"/>
            </w:pPr>
            <w:r>
              <w:t xml:space="preserve">≈ 22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v1.2</w:t>
            </w:r>
          </w:p>
        </w:tc>
        <w:tc>
          <w:tcPr/>
          <w:p>
            <w:pPr>
              <w:pStyle w:val="Compact"/>
            </w:pPr>
            <w:r>
              <w:t xml:space="preserve">Operationally real</w:t>
            </w:r>
          </w:p>
        </w:tc>
        <w:tc>
          <w:tcPr/>
          <w:p>
            <w:pPr>
              <w:pStyle w:val="Compact"/>
            </w:pPr>
            <w:r>
              <w:t xml:space="preserve">TD-04, TD-05, TD-11, TD-12, TD-19</w:t>
            </w:r>
          </w:p>
        </w:tc>
        <w:tc>
          <w:tcPr/>
          <w:p>
            <w:pPr>
              <w:pStyle w:val="Compact"/>
            </w:pPr>
            <w:r>
              <w:t xml:space="preserve">≈ 46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v1.3</w:t>
            </w:r>
          </w:p>
        </w:tc>
        <w:tc>
          <w:tcPr/>
          <w:p>
            <w:pPr>
              <w:pStyle w:val="Compact"/>
            </w:pPr>
            <w:r>
              <w:t xml:space="preserve">Defensible</w:t>
            </w:r>
          </w:p>
        </w:tc>
        <w:tc>
          <w:tcPr/>
          <w:p>
            <w:pPr>
              <w:pStyle w:val="Compact"/>
            </w:pPr>
            <w:r>
              <w:t xml:space="preserve">TD-08, TD-09, TD-14, TD-15, TD-20</w:t>
            </w:r>
          </w:p>
        </w:tc>
        <w:tc>
          <w:tcPr/>
          <w:p>
            <w:pPr>
              <w:pStyle w:val="Compact"/>
            </w:pPr>
            <w:r>
              <w:t xml:space="preserve">≈ 31 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v2.0</w:t>
            </w:r>
          </w:p>
        </w:tc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TD-16, TD-18, plus scalability work in</w:t>
            </w:r>
            <w:r>
              <w:t xml:space="preserve"> </w:t>
            </w:r>
            <w:r>
              <w:rPr>
                <w:rStyle w:val="VerbatimChar"/>
              </w:rPr>
              <w:t xml:space="preserve">Project_Documentation.docx</w:t>
            </w:r>
            <w:r>
              <w:t xml:space="preserve"> </w:t>
            </w:r>
            <w:r>
              <w:t xml:space="preserve">§16</w:t>
            </w:r>
          </w:p>
        </w:tc>
        <w:tc>
          <w:tcPr/>
          <w:p>
            <w:pPr>
              <w:pStyle w:val="Compact"/>
            </w:pPr>
            <w:r>
              <w:t xml:space="preserve">≈ 5 h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outstanding: approximately 104 person-hours</w:t>
      </w:r>
      <w:r>
        <w:t xml:space="preserve"> </w:t>
      </w:r>
      <w:r>
        <w:t xml:space="preserve">— more than twice the</w:t>
      </w:r>
      <w:r>
        <w:t xml:space="preserve"> </w:t>
      </w:r>
      <w:r>
        <w:t xml:space="preserve">original 48-hour build. That ratio is the honest cost of the delivery schedule,</w:t>
      </w:r>
      <w:r>
        <w:t xml:space="preserve"> </w:t>
      </w:r>
      <w:r>
        <w:t xml:space="preserve">and it is why the estimate in</w:t>
      </w:r>
      <w:r>
        <w:t xml:space="preserve"> </w:t>
      </w:r>
      <w:r>
        <w:rPr>
          <w:rStyle w:val="VerbatimChar"/>
        </w:rPr>
        <w:t xml:space="preserve">Project_Documentation.docx</w:t>
      </w:r>
      <w:r>
        <w:t xml:space="preserve"> </w:t>
      </w:r>
      <w:r>
        <w:t xml:space="preserve">§7 is reported as a</w:t>
      </w:r>
      <w:r>
        <w:t xml:space="preserve"> </w:t>
      </w:r>
      <w:r>
        <w:t xml:space="preserve">shortfall rather than a target that was met.</w:t>
      </w:r>
    </w:p>
    <w:bookmarkEnd w:id="37"/>
    <w:bookmarkStart w:id="38" w:name="X40c363c8817d29899568560057e7df13e3fcb26"/>
    <w:p>
      <w:pPr>
        <w:pStyle w:val="Heading2"/>
      </w:pPr>
      <w:r>
        <w:t xml:space="preserve">3.3 Exit Criterion for Real Data</w:t>
      </w:r>
    </w:p>
    <w:p>
      <w:pPr>
        <w:pStyle w:val="FirstParagraph"/>
      </w:pPr>
      <w:r>
        <w:t xml:space="preserve">The system must not process real patient data until</w:t>
      </w:r>
      <w:r>
        <w:t xml:space="preserve"> </w:t>
      </w:r>
      <w:r>
        <w:rPr>
          <w:b/>
          <w:bCs/>
        </w:rPr>
        <w:t xml:space="preserve">all four critical items</w:t>
      </w:r>
      <w:r>
        <w:rPr>
          <w:b/>
          <w:bCs/>
        </w:rPr>
        <w:t xml:space="preserve"> </w:t>
      </w:r>
      <w:r>
        <w:rPr>
          <w:b/>
          <w:bCs/>
        </w:rPr>
        <w:t xml:space="preserve">are closed and independently verified</w:t>
      </w:r>
      <w:r>
        <w:t xml:space="preserve">. Specifically:</w:t>
      </w:r>
    </w:p>
    <w:p>
      <w:pPr>
        <w:pStyle w:val="Compact"/>
        <w:numPr>
          <w:ilvl w:val="0"/>
          <w:numId w:val="1002"/>
        </w:numPr>
      </w:pPr>
      <w:r>
        <w:t xml:space="preserve">TD-01 — every API route rejects an unauthenticated caller, and ownership is</w:t>
      </w:r>
      <w:r>
        <w:t xml:space="preserve"> </w:t>
      </w:r>
      <w:r>
        <w:t xml:space="preserve">enforced on every record access;</w:t>
      </w:r>
    </w:p>
    <w:p>
      <w:pPr>
        <w:pStyle w:val="Compact"/>
        <w:numPr>
          <w:ilvl w:val="0"/>
          <w:numId w:val="1002"/>
        </w:numPr>
      </w:pPr>
      <w:r>
        <w:t xml:space="preserve">TD-02 — the exposed inference key is rotated and history is purged;</w:t>
      </w:r>
    </w:p>
    <w:p>
      <w:pPr>
        <w:pStyle w:val="Compact"/>
        <w:numPr>
          <w:ilvl w:val="0"/>
          <w:numId w:val="1002"/>
        </w:numPr>
      </w:pPr>
      <w:r>
        <w:t xml:space="preserve">TD-03 — the unsigned client-side session copy is removed;</w:t>
      </w:r>
    </w:p>
    <w:p>
      <w:pPr>
        <w:pStyle w:val="Compact"/>
        <w:numPr>
          <w:ilvl w:val="0"/>
          <w:numId w:val="1002"/>
        </w:numPr>
      </w:pPr>
      <w:r>
        <w:t xml:space="preserve">TD-21 —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is set from the environment in every deployment and the</w:t>
      </w:r>
      <w:r>
        <w:t xml:space="preserve"> </w:t>
      </w:r>
      <w:r>
        <w:t xml:space="preserve">published fallback is deleted from source.</w:t>
      </w:r>
    </w:p>
    <w:p>
      <w:pPr>
        <w:pStyle w:val="FirstParagraph"/>
      </w:pPr>
      <w:r>
        <w:t xml:space="preserve">Verification is the security probe suite passing 9 of 9 rather than the current</w:t>
      </w:r>
      <w:r>
        <w:t xml:space="preserve"> </w:t>
      </w:r>
      <w:r>
        <w:t xml:space="preserve">4 of 9. Until then the deployment carries its notice, and that notice is a</w:t>
      </w:r>
      <w:r>
        <w:t xml:space="preserve"> </w:t>
      </w:r>
      <w:r>
        <w:t xml:space="preserve">control, not a disclaimer.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Technical Debt Identification and Management Plan.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Debt Identification and Management Plan</dc:title>
  <dc:creator>Ernest Nketia Asubonteng (22424715)</dc:creator>
  <dc:language>en-GB</dc:language>
  <cp:keywords/>
  <dcterms:created xsi:type="dcterms:W3CDTF">2026-08-13T10:37:19Z</dcterms:created>
  <dcterms:modified xsi:type="dcterms:W3CDTF">2026-08-13T10:37:19Z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CSCD 602 Advanced Software Engineering · University of Ghana</vt:lpwstr>
  </property>
  <property fmtid="{D5CDD505-2E9C-101B-9397-08002B2CF9AE}" pid="3" name="subtitle">
    <vt:lpwstr>PulseTriage — Telehealth Appointment &amp; Urgency Auto-Triage System</vt:lpwstr>
  </property>
</Properties>
</file>