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and Quality Assurance Report</w:t>
      </w:r>
    </w:p>
    <w:p>
      <w:pPr>
        <w:pStyle w:val="Subtitle"/>
      </w:pPr>
      <w:r>
        <w:t xml:space="preserve">PulseTriage — Telehealth Appointment &amp; Urgency Auto-Triage System</w:t>
      </w:r>
    </w:p>
    <w:p>
      <w:pPr>
        <w:pStyle w:val="Author"/>
      </w:pPr>
      <w:r>
        <w:t xml:space="preserve">Ernest Nketia Asubonteng (22424715)</w:t>
      </w:r>
    </w:p>
    <w:p>
      <w:pPr>
        <w:pStyle w:val="Date"/>
      </w:pPr>
      <w:r>
        <w:t xml:space="preserve">CSCD 602 Advanced Software Engineering · University of Ghana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esting-and-quality-assurance-report"/>
    <w:p>
      <w:pPr>
        <w:pStyle w:val="Heading1"/>
      </w:pPr>
      <w:r>
        <w:t xml:space="preserve">TESTING AND QUALITY ASSURANCE REPORT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Ernest Nketia Asubonteng — 22424715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CSCD 602 Advanced Software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Examiner</w:t>
            </w:r>
          </w:p>
        </w:tc>
        <w:tc>
          <w:tcPr/>
          <w:p>
            <w:pPr>
              <w:pStyle w:val="Compact"/>
            </w:pPr>
            <w:r>
              <w:t xml:space="preserve">Prof. Solomon Mensah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Test strategy, cases and executed results. Requirements are in</w:t>
            </w:r>
            <w:r>
              <w:t xml:space="preserve"> </w:t>
            </w:r>
            <w:r>
              <w:rPr>
                <w:rStyle w:val="VerbatimChar"/>
              </w:rPr>
              <w:t xml:space="preserve">SRS.docx</w:t>
            </w:r>
            <w:r>
              <w:t xml:space="preserve">; defects that became debt are in</w:t>
            </w:r>
            <w:r>
              <w:t xml:space="preserve"> </w:t>
            </w:r>
            <w:r>
              <w:rPr>
                <w:rStyle w:val="VerbatimChar"/>
              </w:rPr>
              <w:t xml:space="preserve">Technical_Debt_Plan.docx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102b2e9de4183984340b81b0bb402a984d3925a"/>
    <w:p>
      <w:pPr>
        <w:pStyle w:val="Heading1"/>
      </w:pPr>
      <w:r>
        <w:t xml:space="preserve">1. Executive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 executed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 passing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 (100%)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type errors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scan findings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budget (NFR-1)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worst p95 0.0032 ms against a 200 ms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probes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of 9 pass; 5 fail as 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Defects raised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  <w:r>
              <w:t xml:space="preserve"> </w:t>
            </w:r>
            <w:r>
              <w:t xml:space="preserve">— 6 closed, 2 open and carried as debt</w:t>
            </w:r>
          </w:p>
        </w:tc>
      </w:tr>
    </w:tbl>
    <w:p>
      <w:pPr>
        <w:pStyle w:val="BodyText"/>
      </w:pPr>
      <w:r>
        <w:t xml:space="preserve">The five failing security probes are reported as failures. They are the evidence</w:t>
      </w:r>
      <w:r>
        <w:t xml:space="preserve"> </w:t>
      </w:r>
      <w:r>
        <w:t xml:space="preserve">for the incomplete authorisation coverage recorded as TD-01, and adjusting the</w:t>
      </w:r>
      <w:r>
        <w:t xml:space="preserve"> </w:t>
      </w:r>
      <w:r>
        <w:t xml:space="preserve">test to make it pass would have destroyed the only objective record of the</w:t>
      </w:r>
      <w:r>
        <w:t xml:space="preserve"> </w:t>
      </w:r>
      <w:r>
        <w:t xml:space="preserve">weakness.</w:t>
      </w:r>
    </w:p>
    <w:p>
      <w:pPr>
        <w:pStyle w:val="BodyText"/>
      </w:pPr>
      <w:r>
        <w:rPr>
          <w:b/>
          <w:bCs/>
        </w:rPr>
        <w:t xml:space="preserve">Overall assessment.</w:t>
      </w:r>
      <w:r>
        <w:t xml:space="preserve"> </w:t>
      </w:r>
      <w:r>
        <w:t xml:space="preserve">Functional behaviour meets the prioritised requirements.</w:t>
      </w:r>
      <w:r>
        <w:t xml:space="preserve"> </w:t>
      </w:r>
      <w:r>
        <w:t xml:space="preserve">The safety-critical requirement FR-2.6 is covered by five dedicated tests and</w:t>
      </w:r>
      <w:r>
        <w:t xml:space="preserve"> </w:t>
      </w:r>
      <w:r>
        <w:t xml:space="preserve">passes all of them. The system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fit to hold real patient data until the</w:t>
      </w:r>
      <w:r>
        <w:t xml:space="preserve"> </w:t>
      </w:r>
      <w:r>
        <w:t xml:space="preserve">critical items in</w:t>
      </w:r>
      <w:r>
        <w:t xml:space="preserve"> </w:t>
      </w:r>
      <w:r>
        <w:rPr>
          <w:rStyle w:val="VerbatimChar"/>
        </w:rPr>
        <w:t xml:space="preserve">Technical_Debt_Plan.docx</w:t>
      </w:r>
      <w:r>
        <w:t xml:space="preserve"> </w:t>
      </w:r>
      <w:r>
        <w:t xml:space="preserve">are closed; this report is the</w:t>
      </w:r>
      <w:r>
        <w:t xml:space="preserve"> </w:t>
      </w:r>
      <w:r>
        <w:t xml:space="preserve">evidence for that judgement rather than a contradiction of it.</w:t>
      </w:r>
    </w:p>
    <w:p>
      <w:r>
        <w:pict>
          <v:rect style="width:0;height:1.5pt" o:hralign="center" o:hrstd="t" o:hr="t"/>
        </w:pict>
      </w:r>
    </w:p>
    <w:bookmarkEnd w:id="10"/>
    <w:bookmarkStart w:id="16" w:name="Xc6773d02bd61f209635dc3a341770dc1cfb3e2e"/>
    <w:p>
      <w:pPr>
        <w:pStyle w:val="Heading1"/>
      </w:pPr>
      <w:r>
        <w:t xml:space="preserve">2. Test Strategy</w:t>
      </w:r>
    </w:p>
    <w:bookmarkStart w:id="11" w:name="Xba6389d6d2acbc6091106e54121f65f17c44c9b"/>
    <w:p>
      <w:pPr>
        <w:pStyle w:val="Heading2"/>
      </w:pPr>
      <w:r>
        <w:t xml:space="preserve">2.1 Objectives</w:t>
      </w:r>
    </w:p>
    <w:p>
      <w:pPr>
        <w:pStyle w:val="Compact"/>
        <w:numPr>
          <w:ilvl w:val="0"/>
          <w:numId w:val="1001"/>
        </w:numPr>
      </w:pPr>
      <w:r>
        <w:t xml:space="preserve">Prove that FR-2.6 — the red-flag short-circuit — cannot be bypassed.</w:t>
      </w:r>
    </w:p>
    <w:p>
      <w:pPr>
        <w:pStyle w:val="Compact"/>
        <w:numPr>
          <w:ilvl w:val="0"/>
          <w:numId w:val="1001"/>
        </w:numPr>
      </w:pPr>
      <w:r>
        <w:t xml:space="preserve">Prove that FR-3.6 — exactly one appointment per slot — holds under concurrency.</w:t>
      </w:r>
    </w:p>
    <w:p>
      <w:pPr>
        <w:pStyle w:val="Compact"/>
        <w:numPr>
          <w:ilvl w:val="0"/>
          <w:numId w:val="1001"/>
        </w:numPr>
      </w:pPr>
      <w:r>
        <w:t xml:space="preserve">Confirm that each prioritised functional requirement behaves as specified.</w:t>
      </w:r>
    </w:p>
    <w:p>
      <w:pPr>
        <w:pStyle w:val="Compact"/>
        <w:numPr>
          <w:ilvl w:val="0"/>
          <w:numId w:val="1001"/>
        </w:numPr>
      </w:pPr>
      <w:r>
        <w:t xml:space="preserve">Establish whether the non-functional budgets are met.</w:t>
      </w:r>
    </w:p>
    <w:p>
      <w:pPr>
        <w:pStyle w:val="Compact"/>
        <w:numPr>
          <w:ilvl w:val="0"/>
          <w:numId w:val="1001"/>
        </w:numPr>
      </w:pPr>
      <w:r>
        <w:t xml:space="preserve">Establish the true security posture rather than a flattering one.</w:t>
      </w:r>
    </w:p>
    <w:bookmarkEnd w:id="11"/>
    <w:bookmarkStart w:id="12" w:name="Xf0453ae85bc8b34b6b0c02b4f9834e1d6a68d89"/>
    <w:p>
      <w:pPr>
        <w:pStyle w:val="Heading2"/>
      </w:pPr>
      <w:r>
        <w:t xml:space="preserve">2.2 Levels and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Equivalence partitioning, boundary analysis, decision tables</w:t>
            </w:r>
          </w:p>
        </w:tc>
        <w:tc>
          <w:tcPr/>
          <w:p>
            <w:pPr>
              <w:pStyle w:val="Compact"/>
            </w:pPr>
            <w:r>
              <w:t xml:space="preserve">Automated (44)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Whole-program type checking; secret scanning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API-to-database round trips against the live database</w:t>
            </w:r>
          </w:p>
        </w:tc>
        <w:tc>
          <w:tcPr/>
          <w:p>
            <w:pPr>
              <w:pStyle w:val="Compact"/>
            </w:pPr>
            <w:r>
              <w:t xml:space="preserve">Scripted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End-to-end journeys per role through the interface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Scenario walkthrough against acceptance criteria</w:t>
            </w:r>
          </w:p>
        </w:tc>
        <w:tc>
          <w:tcPr/>
          <w:p>
            <w:pPr>
              <w:pStyle w:val="Compact"/>
            </w:pPr>
            <w:r>
              <w:t xml:space="preserve">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Repeated-execution latency harness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Probe suite against the live deployment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</w:tbl>
    <w:p>
      <w:pPr>
        <w:pStyle w:val="BodyText"/>
      </w:pPr>
      <w:r>
        <w:t xml:space="preserve">Boundary analysis drove the banding tests specifically: the tier boundaries at</w:t>
      </w:r>
      <w:r>
        <w:t xml:space="preserve"> </w:t>
      </w:r>
      <w:r>
        <w:t xml:space="preserve">80, 60 and 35 are exactly where an off-by-one would put a patient in the wrong</w:t>
      </w:r>
      <w:r>
        <w:t xml:space="preserve"> </w:t>
      </w:r>
      <w:r>
        <w:t xml:space="preserve">tier, so each boundary is tested on both sides.</w:t>
      </w:r>
    </w:p>
    <w:bookmarkEnd w:id="12"/>
    <w:bookmarkStart w:id="13" w:name="X339e74d5e6a7d9ce910bb24534e3a47e7aed3c7"/>
    <w:p>
      <w:pPr>
        <w:pStyle w:val="Heading2"/>
      </w:pPr>
      <w:r>
        <w:t xml:space="preserve">2.3 Entry and Exit Criteria</w:t>
      </w:r>
    </w:p>
    <w:p>
      <w:pPr>
        <w:pStyle w:val="FirstParagraph"/>
      </w:pPr>
      <w:r>
        <w:rPr>
          <w:b/>
          <w:bCs/>
        </w:rPr>
        <w:t xml:space="preserve">Entry.</w:t>
      </w:r>
      <w:r>
        <w:t xml:space="preserve"> </w:t>
      </w:r>
      <w:r>
        <w:t xml:space="preserve">Code compiles with zero type errors; the feature under test is</w:t>
      </w:r>
      <w:r>
        <w:t xml:space="preserve"> </w:t>
      </w:r>
      <w:r>
        <w:t xml:space="preserve">reachable through the interface; seed data is loaded.</w:t>
      </w:r>
    </w:p>
    <w:p>
      <w:pPr>
        <w:pStyle w:val="BodyText"/>
      </w:pPr>
      <w:r>
        <w:rPr>
          <w:b/>
          <w:bCs/>
        </w:rPr>
        <w:t xml:space="preserve">Exit.</w:t>
      </w:r>
      <w:r>
        <w:t xml:space="preserve"> </w:t>
      </w:r>
      <w:r>
        <w:t xml:space="preserve">All unit tests pass; no open defect is rated Critical against a</w:t>
      </w:r>
      <w:r>
        <w:t xml:space="preserve"> </w:t>
      </w:r>
      <w:r>
        <w:t xml:space="preserve">safety requirement; every remaining defect is recorded in the debt register with</w:t>
      </w:r>
      <w:r>
        <w:t xml:space="preserve"> </w:t>
      </w:r>
      <w:r>
        <w:t xml:space="preserve">an owner and a proposed resolution.</w:t>
      </w:r>
    </w:p>
    <w:bookmarkEnd w:id="13"/>
    <w:bookmarkStart w:id="15" w:name="X534472efff6b8a0e4f4f18ad019504b53cb09e6"/>
    <w:p>
      <w:pPr>
        <w:pStyle w:val="Heading2"/>
      </w:pPr>
      <w:r>
        <w:t xml:space="preserve">2.4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Node.js 24, TypeScript 5.7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(Neon), seeded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under test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https://pulsetriage.vercel.app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Unit 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tsx --test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test:unit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test:perf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scan:secrets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2" w:name="Xd773c31057168d863364227ff5ce75a20569a7c"/>
    <w:p>
      <w:pPr>
        <w:pStyle w:val="Heading1"/>
      </w:pPr>
      <w:r>
        <w:t xml:space="preserve">3. Unit Testing — Executed Results</w:t>
      </w:r>
    </w:p>
    <w:bookmarkStart w:id="17" w:name="X0a8b6dbec3f8288968d6f37fbd00ee008f72277"/>
    <w:p>
      <w:pPr>
        <w:pStyle w:val="Heading2"/>
      </w:pPr>
      <w:r>
        <w:t xml:space="preserve">3.1 Suite A — Triage Rule Engine (14 tests)</w:t>
      </w:r>
    </w:p>
    <w:p>
      <w:pPr>
        <w:pStyle w:val="FirstParagraph"/>
      </w:pPr>
      <w:r>
        <w:t xml:space="preserve">Exercises the production engine directly. No database, no network.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TC-UNIT-01</w:t>
            </w:r>
          </w:p>
        </w:tc>
        <w:tc>
          <w:tcPr/>
          <w:p>
            <w:pPr>
              <w:pStyle w:val="Compact"/>
            </w:pPr>
            <w:r>
              <w:t xml:space="preserve">FR-2.6</w:t>
            </w:r>
          </w:p>
        </w:tc>
        <w:tc>
          <w:tcPr/>
          <w:p>
            <w:pPr>
              <w:pStyle w:val="Compact"/>
            </w:pPr>
            <w:r>
              <w:t xml:space="preserve">Red flag forces EMERGENCY at 95 with booking suppressed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TC-UNIT-02</w:t>
            </w:r>
          </w:p>
        </w:tc>
        <w:tc>
          <w:tcPr/>
          <w:p>
            <w:pPr>
              <w:pStyle w:val="Compact"/>
            </w:pPr>
            <w:r>
              <w:t xml:space="preserve">FR-2.6</w:t>
            </w:r>
          </w:p>
        </w:tc>
        <w:tc>
          <w:tcPr/>
          <w:p>
            <w:pPr>
              <w:pStyle w:val="Compact"/>
            </w:pPr>
            <w:r>
              <w:t xml:space="preserve">Red flag overrides even a minimal-severity report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TC-UNIT-03</w:t>
            </w:r>
          </w:p>
        </w:tc>
        <w:tc>
          <w:tcPr/>
          <w:p>
            <w:pPr>
              <w:pStyle w:val="Compact"/>
            </w:pPr>
            <w:r>
              <w:t xml:space="preserve">FR-2.6</w:t>
            </w:r>
          </w:p>
        </w:tc>
        <w:tc>
          <w:tcPr/>
          <w:p>
            <w:pPr>
              <w:pStyle w:val="Compact"/>
            </w:pPr>
            <w:r>
              <w:t xml:space="preserve">Every published critical red flag is bound to an EMERGENCY rule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TC-UNIT-13</w:t>
            </w:r>
          </w:p>
        </w:tc>
        <w:tc>
          <w:tcPr/>
          <w:p>
            <w:pPr>
              <w:pStyle w:val="Compact"/>
            </w:pPr>
            <w:r>
              <w:t xml:space="preserve">FR-2.6</w:t>
            </w:r>
          </w:p>
        </w:tc>
        <w:tc>
          <w:tcPr/>
          <w:p>
            <w:pPr>
              <w:pStyle w:val="Compact"/>
            </w:pPr>
            <w:r>
              <w:t xml:space="preserve">Each newly bound red flag short-circuits independently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TC-UNIT-14</w:t>
            </w:r>
          </w:p>
        </w:tc>
        <w:tc>
          <w:tcPr/>
          <w:p>
            <w:pPr>
              <w:pStyle w:val="Compact"/>
            </w:pPr>
            <w:r>
              <w:t xml:space="preserve">FR-2.11</w:t>
            </w:r>
          </w:p>
        </w:tc>
        <w:tc>
          <w:tcPr/>
          <w:p>
            <w:pPr>
              <w:pStyle w:val="Compact"/>
            </w:pPr>
            <w:r>
              <w:t xml:space="preserve">New rules do not disturb existing rule selection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TC-UNIT-04</w:t>
            </w:r>
          </w:p>
        </w:tc>
        <w:tc>
          <w:tcPr/>
          <w:p>
            <w:pPr>
              <w:pStyle w:val="Compact"/>
            </w:pPr>
            <w:r>
              <w:t xml:space="preserve">FR-2.2, FR-2.5</w:t>
            </w:r>
          </w:p>
        </w:tc>
        <w:tc>
          <w:tcPr/>
          <w:p>
            <w:pPr>
              <w:pStyle w:val="Compact"/>
            </w:pPr>
            <w:r>
              <w:t xml:space="preserve">Score = severity×8 + onset bonus, clamped to 0–100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TC-UNIT-05</w:t>
            </w:r>
          </w:p>
        </w:tc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Banding at 80 / 60 / 35 applied on both sides of each boundary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TC-UNIT-06</w:t>
            </w:r>
          </w:p>
        </w:tc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Each non-critical red flag contributes +10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TC-UNIT-07</w:t>
            </w:r>
          </w:p>
        </w:tc>
        <w:tc>
          <w:tcPr/>
          <w:p>
            <w:pPr>
              <w:pStyle w:val="Compact"/>
            </w:pPr>
            <w:r>
              <w:t xml:space="preserve">FR-2.11</w:t>
            </w:r>
          </w:p>
        </w:tc>
        <w:tc>
          <w:tcPr/>
          <w:p>
            <w:pPr>
              <w:pStyle w:val="Compact"/>
            </w:pPr>
            <w:r>
              <w:t xml:space="preserve">Highest-priority rule wins when several match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TC-UNIT-08</w:t>
            </w:r>
          </w:p>
        </w:tc>
        <w:tc>
          <w:tcPr/>
          <w:p>
            <w:pPr>
              <w:pStyle w:val="Compact"/>
            </w:pPr>
            <w:r>
              <w:t xml:space="preserve">FR-2.10</w:t>
            </w:r>
          </w:p>
        </w:tc>
        <w:tc>
          <w:tcPr/>
          <w:p>
            <w:pPr>
              <w:pStyle w:val="Compact"/>
            </w:pPr>
            <w:r>
              <w:t xml:space="preserve">A deactivated rule takes no part in evaluation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TC-UNIT-09</w:t>
            </w:r>
          </w:p>
        </w:tc>
        <w:tc>
          <w:tcPr/>
          <w:p>
            <w:pPr>
              <w:pStyle w:val="Compact"/>
            </w:pPr>
            <w:r>
              <w:t xml:space="preserve">FR-2.7</w:t>
            </w:r>
          </w:p>
        </w:tc>
        <w:tc>
          <w:tcPr/>
          <w:p>
            <w:pPr>
              <w:pStyle w:val="Compact"/>
            </w:pPr>
            <w:r>
              <w:t xml:space="preserve">Every symptom category maps to a specialty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TC-UNIT-10</w:t>
            </w:r>
          </w:p>
        </w:tc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Output contract holds for every urgency band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TC-UNIT-11</w:t>
            </w:r>
          </w:p>
        </w:tc>
        <w:tc>
          <w:tcPr/>
          <w:p>
            <w:pPr>
              <w:pStyle w:val="Compact"/>
            </w:pPr>
            <w:r>
              <w:t xml:space="preserve">FR-2.8</w:t>
            </w:r>
          </w:p>
        </w:tc>
        <w:tc>
          <w:tcPr/>
          <w:p>
            <w:pPr>
              <w:pStyle w:val="Compact"/>
            </w:pPr>
            <w:r>
              <w:t xml:space="preserve">The persistence adapter preserves the engine verdict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TC-UNIT-12</w:t>
            </w:r>
          </w:p>
        </w:tc>
        <w:tc>
          <w:tcPr/>
          <w:p>
            <w:pPr>
              <w:pStyle w:val="Compact"/>
            </w:pPr>
            <w:r>
              <w:t xml:space="preserve">FR-2.9</w:t>
            </w:r>
          </w:p>
        </w:tc>
        <w:tc>
          <w:tcPr/>
          <w:p>
            <w:pPr>
              <w:pStyle w:val="Compact"/>
            </w:pPr>
            <w:r>
              <w:t xml:space="preserve">Identical input yields identical output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TC-UNIT-03 deserves particular note. Rather than testing a fixed list, it reads</w:t>
      </w:r>
      <w:r>
        <w:t xml:space="preserve"> </w:t>
      </w:r>
      <w:r>
        <w:t xml:space="preserve">the red flags the interface actually offers the patient and asserts that each one</w:t>
      </w:r>
      <w:r>
        <w:t xml:space="preserve"> </w:t>
      </w:r>
      <w:r>
        <w:t xml:space="preserve">is bound to a rule that escalates. It is the test that found defect D-03.</w:t>
      </w:r>
    </w:p>
    <w:bookmarkEnd w:id="17"/>
    <w:bookmarkStart w:id="18" w:name="X1195165928134997a3db41b348087396fef7129"/>
    <w:p>
      <w:pPr>
        <w:pStyle w:val="Heading2"/>
      </w:pPr>
      <w:r>
        <w:t xml:space="preserve">3.2 Suite B — Scheduling and Slot Generation (16 tests)</w:t>
      </w:r>
    </w:p>
    <w:p>
      <w:pPr>
        <w:pStyle w:val="FirstParagraph"/>
      </w:pPr>
      <w:r>
        <w:t xml:space="preserve">Exercises the shared slot generator that backs the clinician's availability</w:t>
      </w:r>
      <w:r>
        <w:t xml:space="preserve"> </w:t>
      </w:r>
      <w:r>
        <w:t xml:space="preserve">manager, the patient's booking picker and the server-side booking guard.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TC-SCH-01</w:t>
            </w:r>
          </w:p>
        </w:tc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A weekday window expands into back-to-back slots</w:t>
            </w:r>
          </w:p>
        </w:tc>
        <w:tc>
          <w:tcPr/>
          <w:p>
            <w:pPr>
              <w:pStyle w:val="Compact"/>
            </w:pPr>
            <w:r>
              <w:t xml:space="preserve">6 slots, 09:00–12:00 at 30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TC-SCH-02</w:t>
            </w:r>
          </w:p>
        </w:tc>
        <w:tc>
          <w:tcPr/>
          <w:p>
            <w:pPr>
              <w:pStyle w:val="Compact"/>
            </w:pPr>
            <w:r>
              <w:t xml:space="preserve">FR-3.10</w:t>
            </w:r>
          </w:p>
        </w:tc>
        <w:tc>
          <w:tcPr/>
          <w:p>
            <w:pPr>
              <w:pStyle w:val="Compact"/>
            </w:pPr>
            <w:r>
              <w:t xml:space="preserve">Slot length comes from the clinician, not a fixed 30 minutes</w:t>
            </w:r>
          </w:p>
        </w:tc>
        <w:tc>
          <w:tcPr/>
          <w:p>
            <w:pPr>
              <w:pStyle w:val="Compact"/>
            </w:pPr>
            <w:r>
              <w:t xml:space="preserve">9 slots at 20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TC-SCH-03</w:t>
            </w:r>
          </w:p>
        </w:tc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A trailing part-slot that does not fit is not offered</w:t>
            </w:r>
          </w:p>
        </w:tc>
        <w:tc>
          <w:tcPr/>
          <w:p>
            <w:pPr>
              <w:pStyle w:val="Compact"/>
            </w:pPr>
            <w:r>
              <w:t xml:space="preserve">2 slots, not 2 + stub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TC-SCH-04</w:t>
            </w:r>
          </w:p>
        </w:tc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A day with no published hours produces no slots</w:t>
            </w:r>
          </w:p>
        </w:tc>
        <w:tc>
          <w:tcPr/>
          <w:p>
            <w:pPr>
              <w:pStyle w:val="Compact"/>
            </w:pPr>
            <w:r>
              <w:t xml:space="preserve">0 slots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TC-SCH-05</w:t>
            </w:r>
          </w:p>
        </w:tc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An inactive window is ignored on its own weekday</w:t>
            </w:r>
          </w:p>
        </w:tc>
        <w:tc>
          <w:tcPr/>
          <w:p>
            <w:pPr>
              <w:pStyle w:val="Compact"/>
            </w:pPr>
            <w:r>
              <w:t xml:space="preserve">0 slots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TC-SCH-06</w:t>
            </w:r>
          </w:p>
        </w:tc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A booked slot is marked unavailable and names the patient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TC-SCH-07</w:t>
            </w:r>
          </w:p>
        </w:tc>
        <w:tc>
          <w:tcPr/>
          <w:p>
            <w:pPr>
              <w:pStyle w:val="Compact"/>
            </w:pPr>
            <w:r>
              <w:t xml:space="preserve">FR-3.7</w:t>
            </w:r>
          </w:p>
        </w:tc>
        <w:tc>
          <w:tcPr/>
          <w:p>
            <w:pPr>
              <w:pStyle w:val="Compact"/>
            </w:pPr>
            <w:r>
              <w:t xml:space="preserve">A cancelled appointment releases its slot</w:t>
            </w:r>
          </w:p>
        </w:tc>
        <w:tc>
          <w:tcPr/>
          <w:p>
            <w:pPr>
              <w:pStyle w:val="Compact"/>
            </w:pPr>
            <w:r>
              <w:t xml:space="preserve">Slot available again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TC-SCH-08</w:t>
            </w:r>
          </w:p>
        </w:tc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Overlapping windows never offer a duplicate slot</w:t>
            </w:r>
          </w:p>
        </w:tc>
        <w:tc>
          <w:tcPr/>
          <w:p>
            <w:pPr>
              <w:pStyle w:val="Compact"/>
            </w:pPr>
            <w:r>
              <w:t xml:space="preserve">Unique starts 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TC-SCH-09</w:t>
            </w:r>
          </w:p>
        </w:tc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Slots return in chronological order regardless of input order</w:t>
            </w:r>
          </w:p>
        </w:tc>
        <w:tc>
          <w:tcPr/>
          <w:p>
            <w:pPr>
              <w:pStyle w:val="Compact"/>
            </w:pPr>
            <w:r>
              <w:t xml:space="preserve">Sorted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TC-SCH-10</w:t>
            </w:r>
          </w:p>
        </w:tc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Dates read as local calendar days, not UTC instants</w:t>
            </w:r>
          </w:p>
        </w:tc>
        <w:tc>
          <w:tcPr/>
          <w:p>
            <w:pPr>
              <w:pStyle w:val="Compact"/>
            </w:pPr>
            <w:r>
              <w:t xml:space="preserve">Monday =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Time helpers round-trip</w:t>
            </w: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TC-SCH-12</w:t>
            </w:r>
          </w:p>
        </w:tc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Valid availability accepted and defaulted</w:t>
            </w:r>
          </w:p>
        </w:tc>
        <w:tc>
          <w:tcPr/>
          <w:p>
            <w:pPr>
              <w:pStyle w:val="Compact"/>
            </w:pPr>
            <w:r>
              <w:t xml:space="preserve">30 min, 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TC-SCH-13</w:t>
            </w:r>
          </w:p>
        </w:tc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Out-of-range weekday rejected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TC-SCH-14</w:t>
            </w:r>
          </w:p>
        </w:tc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Window ending before it starts rejected</w:t>
            </w:r>
          </w:p>
        </w:tc>
        <w:tc>
          <w:tcPr/>
          <w:p>
            <w:pPr>
              <w:pStyle w:val="Compact"/>
            </w:pPr>
            <w:r>
              <w:t xml:space="preserve">Rejected, names the 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TC-SCH-15</w:t>
            </w:r>
          </w:p>
        </w:tc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Malformed times and absurd slot lengths rejected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TC-SCH-16</w:t>
            </w:r>
          </w:p>
        </w:tc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Non-array availability rejected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TC-SCH-10 exists because a UTC-parsed date silently shifts to the previous day</w:t>
      </w:r>
      <w:r>
        <w:t xml:space="preserve"> </w:t>
      </w:r>
      <w:r>
        <w:t xml:space="preserve">for anyone west of Greenwich, which would offer Sunday slots on a Monday.</w:t>
      </w:r>
    </w:p>
    <w:bookmarkEnd w:id="18"/>
    <w:bookmarkStart w:id="19" w:name="X6b03a75b0e7a5f35f58e74f3b91c7cb3dc6f024"/>
    <w:p>
      <w:pPr>
        <w:pStyle w:val="Heading2"/>
      </w:pPr>
      <w:r>
        <w:t xml:space="preserve">3.3 Suite C — Clinical Record Composition (5 tests)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TC-REC-01</w:t>
            </w:r>
          </w:p>
        </w:tc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Every completed section is recorded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TC-REC-02</w:t>
            </w:r>
          </w:p>
        </w:tc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Notes written after the call survive into the record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TC-REC-03</w:t>
            </w:r>
          </w:p>
        </w:tc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Empty sections produce explicit placeholders, not blanks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TC-REC-04</w:t>
            </w:r>
          </w:p>
        </w:tc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Whitespace-only input treated as empty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TC-REC-05</w:t>
            </w:r>
          </w:p>
        </w:tc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Sign-off timestamp stamped on the record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19"/>
    <w:bookmarkStart w:id="20" w:name="X5d9f5a54a1c1fac060e6aeb46b3f23e0b75dc93"/>
    <w:p>
      <w:pPr>
        <w:pStyle w:val="Heading2"/>
      </w:pPr>
      <w:r>
        <w:t xml:space="preserve">3.4 Suite D — Supporting Modules (10 tests)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TC-SUP-01</w:t>
            </w:r>
          </w:p>
        </w:tc>
        <w:tc>
          <w:tcPr/>
          <w:p>
            <w:pPr>
              <w:pStyle w:val="Compact"/>
            </w:pPr>
            <w:r>
              <w:t xml:space="preserve">AI triage fallback schema integrity</w:t>
            </w:r>
          </w:p>
        </w:tc>
        <w:tc>
          <w:tcPr/>
          <w:p>
            <w:pPr>
              <w:pStyle w:val="Compact"/>
            </w:pPr>
            <w:r>
              <w:t xml:space="preserve">Shape preserved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TC-SUP-02</w:t>
            </w:r>
          </w:p>
        </w:tc>
        <w:tc>
          <w:tcPr/>
          <w:p>
            <w:pPr>
              <w:pStyle w:val="Compact"/>
            </w:pPr>
            <w:r>
              <w:t xml:space="preserve">SOAP note schema structure</w:t>
            </w:r>
          </w:p>
        </w:tc>
        <w:tc>
          <w:tcPr/>
          <w:p>
            <w:pPr>
              <w:pStyle w:val="Compact"/>
            </w:pPr>
            <w:r>
              <w:t xml:space="preserve">Shape preserved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TC-SUP-03</w:t>
            </w:r>
          </w:p>
        </w:tc>
        <w:tc>
          <w:tcPr/>
          <w:p>
            <w:pPr>
              <w:pStyle w:val="Compact"/>
            </w:pPr>
            <w:r>
              <w:t xml:space="preserve">Lab result normalisation</w:t>
            </w:r>
          </w:p>
        </w:tc>
        <w:tc>
          <w:tcPr/>
          <w:p>
            <w:pPr>
              <w:pStyle w:val="Compact"/>
            </w:pPr>
            <w:r>
              <w:t xml:space="preserve">Normalised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TC-SUP-04</w:t>
            </w:r>
          </w:p>
        </w:tc>
        <w:tc>
          <w:tcPr/>
          <w:p>
            <w:pPr>
              <w:pStyle w:val="Compact"/>
            </w:pPr>
            <w:r>
              <w:t xml:space="preserve">No-show risk calculation</w:t>
            </w:r>
          </w:p>
        </w:tc>
        <w:tc>
          <w:tcPr/>
          <w:p>
            <w:pPr>
              <w:pStyle w:val="Compact"/>
            </w:pPr>
            <w:r>
              <w:t xml:space="preserve">Correct tiering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TC-SUP-05</w:t>
            </w:r>
          </w:p>
        </w:tc>
        <w:tc>
          <w:tcPr/>
          <w:p>
            <w:pPr>
              <w:pStyle w:val="Compact"/>
            </w:pPr>
            <w:r>
              <w:t xml:space="preserve">Triage engine — emergency trigger</w:t>
            </w:r>
          </w:p>
        </w:tc>
        <w:tc>
          <w:tcPr/>
          <w:p>
            <w:pPr>
              <w:pStyle w:val="Compact"/>
            </w:pPr>
            <w:r>
              <w:t xml:space="preserve">EMERGENCY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TC-SUP-06</w:t>
            </w:r>
          </w:p>
        </w:tc>
        <w:tc>
          <w:tcPr/>
          <w:p>
            <w:pPr>
              <w:pStyle w:val="Compact"/>
            </w:pPr>
            <w:r>
              <w:t xml:space="preserve">Triage engine — urgent classification</w:t>
            </w:r>
          </w:p>
        </w:tc>
        <w:tc>
          <w:tcPr/>
          <w:p>
            <w:pPr>
              <w:pStyle w:val="Compact"/>
            </w:pPr>
            <w:r>
              <w:t xml:space="preserve">URGENT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TC-SUP-07</w:t>
            </w:r>
          </w:p>
        </w:tc>
        <w:tc>
          <w:tcPr/>
          <w:p>
            <w:pPr>
              <w:pStyle w:val="Compact"/>
            </w:pPr>
            <w:r>
              <w:t xml:space="preserve">Triage engine — routine classification</w:t>
            </w:r>
          </w:p>
        </w:tc>
        <w:tc>
          <w:tcPr/>
          <w:p>
            <w:pPr>
              <w:pStyle w:val="Compact"/>
            </w:pPr>
            <w:r>
              <w:t xml:space="preserve">ROUTINE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TC-SUP-08</w:t>
            </w:r>
          </w:p>
        </w:tc>
        <w:tc>
          <w:tcPr/>
          <w:p>
            <w:pPr>
              <w:pStyle w:val="Compact"/>
            </w:pPr>
            <w:r>
              <w:t xml:space="preserve">Consultation room URL generation</w:t>
            </w:r>
          </w:p>
        </w:tc>
        <w:tc>
          <w:tcPr/>
          <w:p>
            <w:pPr>
              <w:pStyle w:val="Compact"/>
            </w:pPr>
            <w:r>
              <w:t xml:space="preserve">Correct URL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TC-SUP-09</w:t>
            </w:r>
          </w:p>
        </w:tc>
        <w:tc>
          <w:tcPr/>
          <w:p>
            <w:pPr>
              <w:pStyle w:val="Compact"/>
            </w:pPr>
            <w:r>
              <w:t xml:space="preserve">Consultation completion transition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TC-SUP-10</w:t>
            </w:r>
          </w:p>
        </w:tc>
        <w:tc>
          <w:tcPr/>
          <w:p>
            <w:pPr>
              <w:pStyle w:val="Compact"/>
            </w:pPr>
            <w:r>
              <w:t xml:space="preserve">Chat message data structure</w:t>
            </w:r>
          </w:p>
        </w:tc>
        <w:tc>
          <w:tcPr/>
          <w:p>
            <w:pPr>
              <w:pStyle w:val="Compact"/>
            </w:pPr>
            <w:r>
              <w:t xml:space="preserve">Shape preserved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20"/>
    <w:bookmarkStart w:id="21" w:name="Xda81dd0eea246414eff7060b44770f53eabb06f"/>
    <w:p>
      <w:pPr>
        <w:pStyle w:val="Heading2"/>
      </w:pPr>
      <w:r>
        <w:t xml:space="preserve">3.5 Static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TC-STAT-01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tsc --noEmit</w:t>
            </w:r>
          </w:p>
        </w:tc>
        <w:tc>
          <w:tcPr/>
          <w:p>
            <w:pPr>
              <w:pStyle w:val="Compact"/>
            </w:pPr>
            <w:r>
              <w:t xml:space="preserve">0 errors</w:t>
            </w:r>
          </w:p>
        </w:tc>
        <w:tc>
          <w:tcPr/>
          <w:p>
            <w:pPr>
              <w:pStyle w:val="Compact"/>
            </w:pPr>
            <w:r>
              <w:t xml:space="preserve">0 errors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TC-STAT-02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scan:secrets</w:t>
            </w:r>
          </w:p>
        </w:tc>
        <w:tc>
          <w:tcPr/>
          <w:p>
            <w:pPr>
              <w:pStyle w:val="Compact"/>
            </w:pPr>
            <w:r>
              <w:t xml:space="preserve">0 findings</w:t>
            </w:r>
          </w:p>
        </w:tc>
        <w:tc>
          <w:tcPr/>
          <w:p>
            <w:pPr>
              <w:pStyle w:val="Compact"/>
            </w:pPr>
            <w:r>
              <w:t xml:space="preserve">0 findings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TC-STAT-03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t xml:space="preserve">Build succeeds</w:t>
            </w:r>
          </w:p>
        </w:tc>
        <w:tc>
          <w:tcPr/>
          <w:p>
            <w:pPr>
              <w:pStyle w:val="Compact"/>
            </w:pPr>
            <w:r>
              <w:t xml:space="preserve">Succeeds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TC-STAT-01 caught defect</w:t>
      </w:r>
      <w:r>
        <w:t xml:space="preserve"> </w:t>
      </w:r>
      <w:r>
        <w:rPr>
          <w:b/>
          <w:bCs/>
        </w:rPr>
        <w:t xml:space="preserve">D-08</w:t>
      </w:r>
      <w:r>
        <w:t xml:space="preserve"> </w:t>
      </w:r>
      <w:r>
        <w:t xml:space="preserve">during this reporting cycle — a malformed</w:t>
      </w:r>
      <w:r>
        <w:t xml:space="preserve"> </w:t>
      </w:r>
      <w:r>
        <w:t xml:space="preserve">import statement in the session module that made the whole project fail to</w:t>
      </w:r>
      <w:r>
        <w:t xml:space="preserve"> </w:t>
      </w:r>
      <w:r>
        <w:t xml:space="preserve">compile. See §7.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2f86c565377f66f82e1f673d361e2c47992a0c6"/>
    <w:p>
      <w:pPr>
        <w:pStyle w:val="Heading1"/>
      </w:pPr>
      <w:r>
        <w:t xml:space="preserve">4. Performance Testing — Executed Results</w:t>
      </w:r>
    </w:p>
    <w:bookmarkStart w:id="23" w:name="Xb22a27a1a9264e8c46ae549bb0abf17c9e02d52"/>
    <w:p>
      <w:pPr>
        <w:pStyle w:val="Heading2"/>
      </w:pPr>
      <w:r>
        <w:t xml:space="preserve">4.1 TC-PERF-01 — Rule engine latency (NFR-1, budget 200 ms)</w:t>
      </w:r>
    </w:p>
    <w:p>
      <w:pPr>
        <w:pStyle w:val="FirstParagraph"/>
      </w:pPr>
      <w:r>
        <w:t xml:space="preserve">30,000 evaluations, 10,000 per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p95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p99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 (ms)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 red-flag short-circuit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banding path, no red flag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Routine low-severity path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The worst p95 is 0.0032 ms against a 200 ms budget — roughly 62,000× margin. The</w:t>
      </w:r>
      <w:r>
        <w:t xml:space="preserve"> </w:t>
      </w:r>
      <w:r>
        <w:t xml:space="preserve">result is unsurprising and is reported for completeness: the engine is pure</w:t>
      </w:r>
      <w:r>
        <w:t xml:space="preserve"> </w:t>
      </w:r>
      <w:r>
        <w:t xml:space="preserve">computation over a small rule set, so the budget was never at risk. The</w:t>
      </w:r>
      <w:r>
        <w:t xml:space="preserve"> </w:t>
      </w:r>
      <w:r>
        <w:t xml:space="preserve">meaningful finding is the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column, where first-call figures reach 0.65 ms</w:t>
      </w:r>
      <w:r>
        <w:t xml:space="preserve"> </w:t>
      </w:r>
      <w:r>
        <w:t xml:space="preserve">from just-in-time warm-up, still four orders of magnitude inside budget.</w:t>
      </w:r>
    </w:p>
    <w:bookmarkEnd w:id="23"/>
    <w:bookmarkStart w:id="24" w:name="X9e6aed64199af80c4761d8c6adfa1a380a1fe39"/>
    <w:p>
      <w:pPr>
        <w:pStyle w:val="Heading2"/>
      </w:pPr>
      <w:r>
        <w:t xml:space="preserve">4.2 TC-PERF-02 — Interactive response (NFR-2, budget 2,000 ms at p95)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pages (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/about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/doctors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/api/doctors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/api/doctors/:id/schedule?date=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/api/ai/*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Exceeds budget</w:t>
            </w:r>
            <w:r>
              <w:t xml:space="preserve"> </w:t>
            </w:r>
            <w:r>
              <w:t xml:space="preserve">— 3–25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(accepted)</w:t>
            </w:r>
          </w:p>
        </w:tc>
      </w:tr>
    </w:tbl>
    <w:p>
      <w:pPr>
        <w:pStyle w:val="BodyText"/>
      </w:pPr>
      <w:r>
        <w:t xml:space="preserve">The AI endpoints exceed the interactive budget because they wait on external</w:t>
      </w:r>
      <w:r>
        <w:t xml:space="preserve"> </w:t>
      </w:r>
      <w:r>
        <w:t xml:space="preserve">model inference. This is accepted rather than fixed: NFR-2 governs interactive</w:t>
      </w:r>
      <w:r>
        <w:t xml:space="preserve"> </w:t>
      </w:r>
      <w:r>
        <w:t xml:space="preserve">paths, and the AI features are explicitly advisory and asynchronous from the</w:t>
      </w:r>
      <w:r>
        <w:t xml:space="preserve"> </w:t>
      </w:r>
      <w:r>
        <w:t xml:space="preserve">user's point of view. It is recorded as defect</w:t>
      </w:r>
      <w:r>
        <w:t xml:space="preserve"> </w:t>
      </w:r>
      <w:r>
        <w:rPr>
          <w:b/>
          <w:bCs/>
        </w:rPr>
        <w:t xml:space="preserve">D-07</w:t>
      </w:r>
      <w:r>
        <w:t xml:space="preserve"> </w:t>
      </w:r>
      <w:r>
        <w:t xml:space="preserve">with a resolution</w:t>
      </w:r>
      <w:r>
        <w:t xml:space="preserve"> </w:t>
      </w:r>
      <w:r>
        <w:t xml:space="preserve">(move to a background job) rather than silently reclassified.</w:t>
      </w:r>
    </w:p>
    <w:bookmarkEnd w:id="24"/>
    <w:bookmarkStart w:id="25" w:name="X16374e8a0fc1a8bdfa0edd2c7f1937df93b12cd"/>
    <w:p>
      <w:pPr>
        <w:pStyle w:val="Heading2"/>
      </w:pPr>
      <w:r>
        <w:t xml:space="preserve">4.3 TC-PERF-03 — Availability (NFR-3)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reachable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  <w:tc>
          <w:tcPr/>
          <w:p>
            <w:pPr>
              <w:pStyle w:val="Compact"/>
            </w:pPr>
            <w:r>
              <w:t xml:space="preserve">HTTP 200 on all public routes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Xe8fc5766235efc6ecea80e85dc504789d06352d"/>
    <w:p>
      <w:pPr>
        <w:pStyle w:val="Heading1"/>
      </w:pPr>
      <w:r>
        <w:t xml:space="preserve">5. Security Testing — Executed Results</w:t>
      </w:r>
    </w:p>
    <w:p>
      <w:pPr>
        <w:pStyle w:val="FirstParagraph"/>
      </w:pPr>
      <w:r>
        <w:t xml:space="preserve">Nine probes against the live deployment.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SEC-01</w:t>
            </w:r>
          </w:p>
        </w:tc>
        <w:tc>
          <w:tcPr/>
          <w:p>
            <w:pPr>
              <w:pStyle w:val="Compact"/>
            </w:pPr>
            <w:r>
              <w:t xml:space="preserve">HTTPS 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SEC-02</w:t>
            </w:r>
          </w:p>
        </w:tc>
        <w:tc>
          <w:tcPr/>
          <w:p>
            <w:pPr>
              <w:pStyle w:val="Compact"/>
            </w:pPr>
            <w:r>
              <w:t xml:space="preserve">Password hashed, never returned</w:t>
            </w:r>
          </w:p>
        </w:tc>
        <w:tc>
          <w:tcPr/>
          <w:p>
            <w:pPr>
              <w:pStyle w:val="Compact"/>
            </w:pPr>
            <w:r>
              <w:t xml:space="preserve">Hash only</w:t>
            </w:r>
          </w:p>
        </w:tc>
        <w:tc>
          <w:tcPr/>
          <w:p>
            <w:pPr>
              <w:pStyle w:val="Compact"/>
            </w:pPr>
            <w:r>
              <w:t xml:space="preserve">bcrypt, never returned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SEC-03</w:t>
            </w:r>
          </w:p>
        </w:tc>
        <w:tc>
          <w:tcPr/>
          <w:p>
            <w:pPr>
              <w:pStyle w:val="Compact"/>
            </w:pPr>
            <w:r>
              <w:t xml:space="preserve">Weak password rejected at registration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Rejected on client and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SEC-04</w:t>
            </w:r>
          </w:p>
        </w:tc>
        <w:tc>
          <w:tcPr/>
          <w:p>
            <w:pPr>
              <w:pStyle w:val="Compact"/>
            </w:pPr>
            <w:r>
              <w:t xml:space="preserve">No secret in the working tree</w:t>
            </w:r>
          </w:p>
        </w:tc>
        <w:tc>
          <w:tcPr/>
          <w:p>
            <w:pPr>
              <w:pStyle w:val="Compact"/>
            </w:pPr>
            <w:r>
              <w:t xml:space="preserve">0 findings</w:t>
            </w:r>
          </w:p>
        </w:tc>
        <w:tc>
          <w:tcPr/>
          <w:p>
            <w:pPr>
              <w:pStyle w:val="Compact"/>
            </w:pPr>
            <w:r>
              <w:t xml:space="preserve">0 findings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SEC-05</w:t>
            </w:r>
          </w:p>
        </w:tc>
        <w:tc>
          <w:tcPr/>
          <w:p>
            <w:pPr>
              <w:pStyle w:val="Compact"/>
            </w:pPr>
            <w:r>
              <w:t xml:space="preserve">Unauthenticated read of another user's appointments</w:t>
            </w:r>
          </w:p>
        </w:tc>
        <w:tc>
          <w:tcPr/>
          <w:p>
            <w:pPr>
              <w:pStyle w:val="Compact"/>
            </w:pPr>
            <w:r>
              <w:t xml:space="preserve">Denied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Permitted on unguarded routes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SEC-06</w:t>
            </w:r>
          </w:p>
        </w:tc>
        <w:tc>
          <w:tcPr/>
          <w:p>
            <w:pPr>
              <w:pStyle w:val="Compact"/>
            </w:pPr>
            <w:r>
              <w:t xml:space="preserve">Unauthenticated write to a protected resource</w:t>
            </w:r>
          </w:p>
        </w:tc>
        <w:tc>
          <w:tcPr/>
          <w:p>
            <w:pPr>
              <w:pStyle w:val="Compact"/>
            </w:pPr>
            <w:r>
              <w:t xml:space="preserve">Denied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Permitted on unguarded routes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SEC-07</w:t>
            </w:r>
          </w:p>
        </w:tc>
        <w:tc>
          <w:tcPr/>
          <w:p>
            <w:pPr>
              <w:pStyle w:val="Compact"/>
            </w:pPr>
            <w:r>
              <w:t xml:space="preserve">Role escalation by editing client-side session copy</w:t>
            </w:r>
          </w:p>
        </w:tc>
        <w:tc>
          <w:tcPr/>
          <w:p>
            <w:pPr>
              <w:pStyle w:val="Compact"/>
            </w:pPr>
            <w:r>
              <w:t xml:space="preserve">Denied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 changes; guarded routes correctly reject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SEC-08</w:t>
            </w:r>
          </w:p>
        </w:tc>
        <w:tc>
          <w:tcPr/>
          <w:p>
            <w:pPr>
              <w:pStyle w:val="Compact"/>
            </w:pPr>
            <w:r>
              <w:t xml:space="preserve">Internal error detail suppressed</w:t>
            </w:r>
          </w:p>
        </w:tc>
        <w:tc>
          <w:tcPr/>
          <w:p>
            <w:pPr>
              <w:pStyle w:val="Compact"/>
            </w:pPr>
            <w:r>
              <w:t xml:space="preserve">Suppressed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Echoed on some paths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SEC-09</w:t>
            </w:r>
          </w:p>
        </w:tc>
        <w:tc>
          <w:tcPr/>
          <w:p>
            <w:pPr>
              <w:pStyle w:val="Compact"/>
            </w:pPr>
            <w:r>
              <w:t xml:space="preserve">Brute-force protection on sign-in</w:t>
            </w:r>
          </w:p>
        </w:tc>
        <w:tc>
          <w:tcPr/>
          <w:p>
            <w:pPr>
              <w:pStyle w:val="Compact"/>
            </w:pPr>
            <w:r>
              <w:t xml:space="preserve">Throttled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throttling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</w:t>
            </w:r>
          </w:p>
        </w:tc>
      </w:tr>
    </w:tbl>
    <w:bookmarkStart w:id="27" w:name="X0b8a3e1fc6218024cdf89eae915c5426ce4c254"/>
    <w:p>
      <w:pPr>
        <w:pStyle w:val="Heading2"/>
      </w:pPr>
      <w:r>
        <w:t xml:space="preserve">5.1 Interpretation</w:t>
      </w:r>
    </w:p>
    <w:p>
      <w:pPr>
        <w:pStyle w:val="FirstParagraph"/>
      </w:pPr>
      <w:r>
        <w:t xml:space="preserve">SEC-05, SEC-06 and SEC-07 all stem from one cause: a signed-session layer exists</w:t>
      </w:r>
      <w:r>
        <w:t xml:space="preserve"> </w:t>
      </w:r>
      <w:r>
        <w:t xml:space="preserve">and is correct, but it is applied to only part of the route surface. Where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 </w:t>
      </w:r>
      <w:r>
        <w:t xml:space="preserve">is present the probe is correctly rejected; where it is absent the</w:t>
      </w:r>
      <w:r>
        <w:t xml:space="preserve"> </w:t>
      </w:r>
      <w:r>
        <w:t xml:space="preserve">route acts on a caller-supplied identifier. This is TD-01, and it is the reason</w:t>
      </w:r>
      <w:r>
        <w:t xml:space="preserve"> </w:t>
      </w:r>
      <w:r>
        <w:t xml:space="preserve">the deployment carries a notice against entering real data.</w:t>
      </w:r>
    </w:p>
    <w:p>
      <w:pPr>
        <w:pStyle w:val="BodyText"/>
      </w:pPr>
      <w:r>
        <w:t xml:space="preserve">SEC-07 is recorded as</w:t>
      </w:r>
      <w:r>
        <w:t xml:space="preserve"> </w:t>
      </w:r>
      <w:r>
        <w:rPr>
          <w:i/>
          <w:iCs/>
        </w:rPr>
        <w:t xml:space="preserve">Partial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because the outcome changed</w:t>
      </w:r>
      <w:r>
        <w:t xml:space="preserve"> </w:t>
      </w:r>
      <w:r>
        <w:t xml:space="preserve">during the project: editing the client-side session copy still alters the</w:t>
      </w:r>
      <w:r>
        <w:t xml:space="preserve"> </w:t>
      </w:r>
      <w:r>
        <w:t xml:space="preserve">interface, but any guarded route now rejects the forged identity outright.</w:t>
      </w:r>
    </w:p>
    <w:p>
      <w:pPr>
        <w:pStyle w:val="BodyText"/>
      </w:pPr>
      <w:r>
        <w:t xml:space="preserve">SEC-08 is TD-13. SEC-09 is TD-17.</w:t>
      </w:r>
    </w:p>
    <w:bookmarkEnd w:id="27"/>
    <w:bookmarkStart w:id="28" w:name="X0f5753ce34a3045eb7b68e0f665a2a8bf999c3a"/>
    <w:p>
      <w:pPr>
        <w:pStyle w:val="Heading2"/>
      </w:pPr>
      <w:r>
        <w:t xml:space="preserve">5.2 OWASP Top 10 (2021) Assessment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TD-01 — partial route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bcrypt and HTTPS correct; signing key has a published fallback (TD-21)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</w:pPr>
            <w:r>
              <w:t xml:space="preserve">Addressed</w:t>
            </w:r>
          </w:p>
        </w:tc>
        <w:tc>
          <w:tcPr/>
          <w:p>
            <w:pPr>
              <w:pStyle w:val="Compact"/>
            </w:pPr>
            <w:r>
              <w:t xml:space="preserve">Parameterised access through the ORM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Simulated payment is deliberate and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TD-13 — internal error detail echoed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A06 Vulnerable Components</w:t>
            </w:r>
          </w:p>
        </w:tc>
        <w:tc>
          <w:tcPr/>
          <w:p>
            <w:pPr>
              <w:pStyle w:val="Compact"/>
            </w:pPr>
            <w:r>
              <w:t xml:space="preserve">Addressed</w:t>
            </w:r>
          </w:p>
        </w:tc>
        <w:tc>
          <w:tcPr/>
          <w:p>
            <w:pPr>
              <w:pStyle w:val="Compact"/>
            </w:pPr>
            <w:r>
              <w:t xml:space="preserve">Dependencies current at build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A07 Identification &amp; Authentication Failures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TD-17 — no throttling; TD-05 — no verification or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A08 Software &amp; Data Integrity</w:t>
            </w:r>
          </w:p>
        </w:tc>
        <w:tc>
          <w:tcPr/>
          <w:p>
            <w:pPr>
              <w:pStyle w:val="Compact"/>
            </w:pPr>
            <w:r>
              <w:t xml:space="preserve">Addressed</w:t>
            </w:r>
          </w:p>
        </w:tc>
        <w:tc>
          <w:tcPr/>
          <w:p>
            <w:pPr>
              <w:pStyle w:val="Compact"/>
            </w:pPr>
            <w:r>
              <w:t xml:space="preserve">Transactional writes; unique slot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A09 Logging &amp; Monitoring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Writes audited; reads not (TD-08)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Server-Side Request Forgery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No user-supplied URL is fetched server-side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X8fd292c7ff7e0809934fe6eaec0200c3d33a12d"/>
    <w:p>
      <w:pPr>
        <w:pStyle w:val="Heading1"/>
      </w:pPr>
      <w:r>
        <w:t xml:space="preserve">6. Integration, System and Acceptance Testing</w:t>
      </w:r>
    </w:p>
    <w:bookmarkStart w:id="30" w:name="Xb6d0546986cd8aeaeb2f6ac398b48450cb3ee2e"/>
    <w:p>
      <w:pPr>
        <w:pStyle w:val="Heading2"/>
      </w:pPr>
      <w:r>
        <w:t xml:space="preserve">6.1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TC-INT-01</w:t>
            </w:r>
          </w:p>
        </w:tc>
        <w:tc>
          <w:tcPr/>
          <w:p>
            <w:pPr>
              <w:pStyle w:val="Compact"/>
            </w:pPr>
            <w:r>
              <w:t xml:space="preserve">Triage submission persists and returns the stored assessment</w:t>
            </w:r>
          </w:p>
        </w:tc>
        <w:tc>
          <w:tcPr/>
          <w:p>
            <w:pPr>
              <w:pStyle w:val="Compact"/>
            </w:pPr>
            <w:r>
              <w:t xml:space="preserve">Row written, verdict preserved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TC-INT-02</w:t>
            </w:r>
          </w:p>
        </w:tc>
        <w:tc>
          <w:tcPr/>
          <w:p>
            <w:pPr>
              <w:pStyle w:val="Compact"/>
            </w:pPr>
            <w:r>
              <w:t xml:space="preserve">Booking writes appointment, notification and audit row in one transaction</w:t>
            </w:r>
          </w:p>
        </w:tc>
        <w:tc>
          <w:tcPr/>
          <w:p>
            <w:pPr>
              <w:pStyle w:val="Compact"/>
            </w:pPr>
            <w:r>
              <w:t xml:space="preserve">All three or none</w:t>
            </w:r>
          </w:p>
        </w:tc>
        <w:tc>
          <w:tcPr/>
          <w:p>
            <w:pPr>
              <w:pStyle w:val="Compact"/>
            </w:pPr>
            <w:r>
              <w:t xml:space="preserve">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TC-INT-03</w:t>
            </w:r>
          </w:p>
        </w:tc>
        <w:tc>
          <w:tcPr/>
          <w:p>
            <w:pPr>
              <w:pStyle w:val="Compact"/>
            </w:pPr>
            <w:r>
              <w:t xml:space="preserve">Booking outside published hours is refused</w:t>
            </w:r>
          </w:p>
        </w:tc>
        <w:tc>
          <w:tcPr/>
          <w:p>
            <w:pPr>
              <w:pStyle w:val="Compact"/>
            </w:pPr>
            <w:r>
              <w:t xml:space="preserve">HTTP 409 naming available slots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TC-INT-04</w:t>
            </w:r>
          </w:p>
        </w:tc>
        <w:tc>
          <w:tcPr/>
          <w:p>
            <w:pPr>
              <w:pStyle w:val="Compact"/>
            </w:pPr>
            <w:r>
              <w:t xml:space="preserve">Booking in the past is refused</w:t>
            </w:r>
          </w:p>
        </w:tc>
        <w:tc>
          <w:tcPr/>
          <w:p>
            <w:pPr>
              <w:pStyle w:val="Compact"/>
            </w:pPr>
            <w:r>
              <w:t xml:space="preserve">HTTP 400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Eight concurrent bookings of one slot</w:t>
            </w:r>
          </w:p>
        </w:tc>
        <w:tc>
          <w:tcPr/>
          <w:p>
            <w:pPr>
              <w:pStyle w:val="Compact"/>
            </w:pPr>
            <w:r>
              <w:t xml:space="preserve">Exactly 1 created, 7 refused</w:t>
            </w:r>
          </w:p>
        </w:tc>
        <w:tc>
          <w:tcPr/>
          <w:p>
            <w:pPr>
              <w:pStyle w:val="Compact"/>
            </w:pPr>
            <w:r>
              <w:t xml:space="preserve">1 created, 7 refused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TC-INT-06</w:t>
            </w:r>
          </w:p>
        </w:tc>
        <w:tc>
          <w:tcPr/>
          <w:p>
            <w:pPr>
              <w:pStyle w:val="Compact"/>
            </w:pPr>
            <w:r>
              <w:t xml:space="preserve">Cancellation clears the slot key and frees the slot</w:t>
            </w:r>
          </w:p>
        </w:tc>
        <w:tc>
          <w:tcPr/>
          <w:p>
            <w:pPr>
              <w:pStyle w:val="Compact"/>
            </w:pPr>
            <w:r>
              <w:t xml:space="preserve">Re-booking succeeds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TC-INT-07</w:t>
            </w:r>
          </w:p>
        </w:tc>
        <w:tc>
          <w:tcPr/>
          <w:p>
            <w:pPr>
              <w:pStyle w:val="Compact"/>
            </w:pPr>
            <w:r>
              <w:t xml:space="preserve">Schedule save round-trips and regenerates slots</w:t>
            </w:r>
          </w:p>
        </w:tc>
        <w:tc>
          <w:tcPr/>
          <w:p>
            <w:pPr>
              <w:pStyle w:val="Compact"/>
            </w:pPr>
            <w:r>
              <w:t xml:space="preserve">20-min windows produce 6 slots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TC-INT-08</w:t>
            </w:r>
          </w:p>
        </w:tc>
        <w:tc>
          <w:tcPr/>
          <w:p>
            <w:pPr>
              <w:pStyle w:val="Compact"/>
            </w:pPr>
            <w:r>
              <w:t xml:space="preserve">Consultation brief served to the clinician only</w:t>
            </w:r>
          </w:p>
        </w:tc>
        <w:tc>
          <w:tcPr/>
          <w:p>
            <w:pPr>
              <w:pStyle w:val="Compact"/>
            </w:pPr>
            <w:r>
              <w:t xml:space="preserve">Clinician receives it; patient receives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TC-INT-09</w:t>
            </w:r>
          </w:p>
        </w:tc>
        <w:tc>
          <w:tcPr/>
          <w:p>
            <w:pPr>
              <w:pStyle w:val="Compact"/>
            </w:pPr>
            <w:r>
              <w:t xml:space="preserve">Password change verified against the current password</w:t>
            </w:r>
          </w:p>
        </w:tc>
        <w:tc>
          <w:tcPr/>
          <w:p>
            <w:pPr>
              <w:pStyle w:val="Compact"/>
            </w:pPr>
            <w:r>
              <w:t xml:space="preserve">Wrong rejected; correct succeeds and new password signs in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TC-INT-10</w:t>
            </w:r>
          </w:p>
        </w:tc>
        <w:tc>
          <w:tcPr/>
          <w:p>
            <w:pPr>
              <w:pStyle w:val="Compact"/>
            </w:pPr>
            <w:r>
              <w:t xml:space="preserve">Contact enquiry reaches an administrator and is audited</w:t>
            </w:r>
          </w:p>
        </w:tc>
        <w:tc>
          <w:tcPr/>
          <w:p>
            <w:pPr>
              <w:pStyle w:val="Compact"/>
            </w:pPr>
            <w:r>
              <w:t xml:space="preserve">Notification and audit row written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TC-INT-05 is the evidence for FR-3.6 and is the single most important</w:t>
      </w:r>
      <w:r>
        <w:t xml:space="preserve"> </w:t>
      </w:r>
      <w:r>
        <w:t xml:space="preserve">integration result in this report.</w:t>
      </w:r>
    </w:p>
    <w:bookmarkEnd w:id="30"/>
    <w:bookmarkStart w:id="31" w:name="Xc60167c016f87821680f4c58b2a2aa421710d43"/>
    <w:p>
      <w:pPr>
        <w:pStyle w:val="Heading2"/>
      </w:pPr>
      <w:r>
        <w:t xml:space="preserve">6.2 System Testing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Journey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TC-SYS-01</w:t>
            </w:r>
          </w:p>
        </w:tc>
        <w:tc>
          <w:tcPr/>
          <w:p>
            <w:pPr>
              <w:pStyle w:val="Compact"/>
            </w:pPr>
            <w:r>
              <w:t xml:space="preserve">Register → triage → book → pay → confirmed</w:t>
            </w:r>
          </w:p>
        </w:tc>
        <w:tc>
          <w:tcPr/>
          <w:p>
            <w:pPr>
              <w:pStyle w:val="Compact"/>
            </w:pPr>
            <w:r>
              <w:t xml:space="preserve">Completes; appointment CONFIRMED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TC-SYS-02</w:t>
            </w:r>
          </w:p>
        </w:tc>
        <w:tc>
          <w:tcPr/>
          <w:p>
            <w:pPr>
              <w:pStyle w:val="Compact"/>
            </w:pPr>
            <w:r>
              <w:t xml:space="preserve">Red-flag triage end to end</w:t>
            </w:r>
          </w:p>
        </w:tc>
        <w:tc>
          <w:tcPr/>
          <w:p>
            <w:pPr>
              <w:pStyle w:val="Compact"/>
            </w:pPr>
            <w:r>
              <w:t xml:space="preserve">EMERGENCY; no booking control anywhere on the view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TC-SYS-03</w:t>
            </w:r>
          </w:p>
        </w:tc>
        <w:tc>
          <w:tcPr/>
          <w:p>
            <w:pPr>
              <w:pStyle w:val="Compact"/>
            </w:pPr>
            <w:r>
              <w:t xml:space="preserve">Clinician signs in and works the queue</w:t>
            </w:r>
          </w:p>
        </w:tc>
        <w:tc>
          <w:tcPr/>
          <w:p>
            <w:pPr>
              <w:pStyle w:val="Compact"/>
            </w:pPr>
            <w:r>
              <w:t xml:space="preserve">Ordered by urgency, not booking time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TC-SYS-04</w:t>
            </w:r>
          </w:p>
        </w:tc>
        <w:tc>
          <w:tcPr/>
          <w:p>
            <w:pPr>
              <w:pStyle w:val="Compact"/>
            </w:pPr>
            <w:r>
              <w:t xml:space="preserve">Two-party video consultation</w:t>
            </w:r>
          </w:p>
        </w:tc>
        <w:tc>
          <w:tcPr/>
          <w:p>
            <w:pPr>
              <w:pStyle w:val="Compact"/>
            </w:pPr>
            <w:r>
              <w:t xml:space="preserve">Two-way audio and video, chat, notes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TC-SYS-05</w:t>
            </w:r>
          </w:p>
        </w:tc>
        <w:tc>
          <w:tcPr/>
          <w:p>
            <w:pPr>
              <w:pStyle w:val="Compact"/>
            </w:pPr>
            <w:r>
              <w:t xml:space="preserve">Clinician signs off; patient sees the note</w:t>
            </w:r>
          </w:p>
        </w:tc>
        <w:tc>
          <w:tcPr/>
          <w:p>
            <w:pPr>
              <w:pStyle w:val="Compact"/>
            </w:pPr>
            <w:r>
              <w:t xml:space="preserve">Status COMPLETED; note visible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TC-SYS-06</w:t>
            </w:r>
          </w:p>
        </w:tc>
        <w:tc>
          <w:tcPr/>
          <w:p>
            <w:pPr>
              <w:pStyle w:val="Compact"/>
            </w:pPr>
            <w:r>
              <w:t xml:space="preserve">Administrator verifies a clinician</w:t>
            </w:r>
          </w:p>
        </w:tc>
        <w:tc>
          <w:tcPr/>
          <w:p>
            <w:pPr>
              <w:pStyle w:val="Compact"/>
            </w:pPr>
            <w:r>
              <w:t xml:space="preserve">Clinician becomes bookable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TC-SYS-07</w:t>
            </w:r>
          </w:p>
        </w:tc>
        <w:tc>
          <w:tcPr/>
          <w:p>
            <w:pPr>
              <w:pStyle w:val="Compact"/>
            </w:pPr>
            <w:r>
              <w:t xml:space="preserve">Patient reschedules a confirmed appointment</w:t>
            </w:r>
          </w:p>
        </w:tc>
        <w:tc>
          <w:tcPr/>
          <w:p>
            <w:pPr>
              <w:pStyle w:val="Compact"/>
            </w:pPr>
            <w:r>
              <w:t xml:space="preserve">Moves; availability re-checked; no repayment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TC-SYS-08</w:t>
            </w:r>
          </w:p>
        </w:tc>
        <w:tc>
          <w:tcPr/>
          <w:p>
            <w:pPr>
              <w:pStyle w:val="Compact"/>
            </w:pPr>
            <w:r>
              <w:t xml:space="preserve">Responsive behaviour at 360 px</w:t>
            </w:r>
          </w:p>
        </w:tc>
        <w:tc>
          <w:tcPr/>
          <w:p>
            <w:pPr>
              <w:pStyle w:val="Compact"/>
            </w:pPr>
            <w:r>
              <w:t xml:space="preserve">No horizontal scroll; controls reachable</w:t>
            </w:r>
          </w:p>
        </w:tc>
        <w:tc>
          <w:tcPr/>
          <w:p>
            <w:pPr>
              <w:pStyle w:val="Compact"/>
            </w:pPr>
            <w:r>
              <w:t xml:space="preserve">As expected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bookmarkEnd w:id="31"/>
    <w:bookmarkStart w:id="32" w:name="X7c485cff4e62116c0753b640b64e5fde3b0ebc1"/>
    <w:p>
      <w:pPr>
        <w:pStyle w:val="Heading2"/>
      </w:pPr>
      <w:r>
        <w:t xml:space="preserve">6.3 User Acceptance Testing</w:t>
      </w:r>
    </w:p>
    <w:p>
      <w:pPr>
        <w:pStyle w:val="FirstParagraph"/>
      </w:pPr>
      <w:r>
        <w:t xml:space="preserve">Scenario-based walkthrough against the acceptance criteria for each user class.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UAT-01</w:t>
            </w:r>
          </w:p>
        </w:tc>
        <w:tc>
          <w:tcPr/>
          <w:p>
            <w:pPr>
              <w:pStyle w:val="Compact"/>
            </w:pPr>
            <w:r>
              <w:t xml:space="preserve">A first-time patient completes an assessment without instruction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UAT-02</w:t>
            </w:r>
          </w:p>
        </w:tc>
        <w:tc>
          <w:tcPr/>
          <w:p>
            <w:pPr>
              <w:pStyle w:val="Compact"/>
            </w:pPr>
            <w:r>
              <w:t xml:space="preserve">The result is understandable without clinical knowledge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UAT-03</w:t>
            </w:r>
          </w:p>
        </w:tc>
        <w:tc>
          <w:tcPr/>
          <w:p>
            <w:pPr>
              <w:pStyle w:val="Compact"/>
            </w:pPr>
            <w:r>
              <w:t xml:space="preserve">A red-flag result makes the required action unmistakable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UAT-04</w:t>
            </w:r>
          </w:p>
        </w:tc>
        <w:tc>
          <w:tcPr/>
          <w:p>
            <w:pPr>
              <w:pStyle w:val="Compact"/>
            </w:pPr>
            <w:r>
              <w:t xml:space="preserve">A clinician can identify the most urgent patient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UAT-05</w:t>
            </w:r>
          </w:p>
        </w:tc>
        <w:tc>
          <w:tcPr/>
          <w:p>
            <w:pPr>
              <w:pStyle w:val="Compact"/>
            </w:pPr>
            <w:r>
              <w:t xml:space="preserve">A clinician has the case history before the consultation opens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UAT-06</w:t>
            </w:r>
          </w:p>
        </w:tc>
        <w:tc>
          <w:tcPr/>
          <w:p>
            <w:pPr>
              <w:pStyle w:val="Compact"/>
            </w:pPr>
            <w:r>
              <w:t xml:space="preserve">An administrator can verify a clinician and see the 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UAT-07</w:t>
            </w:r>
          </w:p>
        </w:tc>
        <w:tc>
          <w:tcPr/>
          <w:p>
            <w:pPr>
              <w:pStyle w:val="Compact"/>
            </w:pPr>
            <w:r>
              <w:t xml:space="preserve">The patient can find and understand their clinical notes afterwards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Limitation of this evidence.</w:t>
      </w:r>
      <w:r>
        <w:t xml:space="preserve"> </w:t>
      </w:r>
      <w:r>
        <w:t xml:space="preserve">Acceptance testing was performed by the</w:t>
      </w:r>
      <w:r>
        <w:t xml:space="preserve"> </w:t>
      </w:r>
      <w:r>
        <w:t xml:space="preserve">developer, not by representative users. It establishes that the criteria are</w:t>
      </w:r>
      <w:r>
        <w:t xml:space="preserve"> </w:t>
      </w:r>
      <w:r>
        <w:rPr>
          <w:i/>
          <w:iCs/>
        </w:rPr>
        <w:t xml:space="preserve">met as written</w:t>
      </w:r>
      <w:r>
        <w:t xml:space="preserve">; it does not establish that they are the right criteria. Testing</w:t>
      </w:r>
      <w:r>
        <w:t xml:space="preserve"> </w:t>
      </w:r>
      <w:r>
        <w:t xml:space="preserve">with real patients and clinicians is required before any claim of usability is</w:t>
      </w:r>
      <w:r>
        <w:t xml:space="preserve"> </w:t>
      </w:r>
      <w:r>
        <w:t xml:space="preserve">defensible.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2012d3d9debf67b1ca4ca7babe72de20b4f5d5"/>
    <w:p>
      <w:pPr>
        <w:pStyle w:val="Heading1"/>
      </w:pPr>
      <w:r>
        <w:t xml:space="preserve">7. Defect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Found by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Corrective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Unauthenticated access permitted on unguarded API routes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SEC-05, SEC-06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Signed-session layer built; applied to 7 of 28 routes. Remainder tracked as TD-01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Inference API key committed to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Code review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Removed from tree; env-var only; scanner and pre-commit hook added. History purge remains as TD-02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D-03</w:t>
            </w:r>
          </w:p>
        </w:tc>
        <w:tc>
          <w:tcPr/>
          <w:p>
            <w:pPr>
              <w:pStyle w:val="Compact"/>
            </w:pPr>
            <w:r>
              <w:t xml:space="preserve">Two published red flags bound to no EMERGENCY rule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TC-UNIT-03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RULE-007 and RULE-008 added; regression tests TC-UNIT-13/14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D-04</w:t>
            </w:r>
          </w:p>
        </w:tc>
        <w:tc>
          <w:tcPr/>
          <w:p>
            <w:pPr>
              <w:pStyle w:val="Compact"/>
            </w:pPr>
            <w:r>
              <w:t xml:space="preserve">Two patients could hold the same slot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TC-INT-05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Unique constraint on</w:t>
            </w:r>
            <w:r>
              <w:t xml:space="preserve"> </w:t>
            </w:r>
            <w:r>
              <w:rPr>
                <w:rStyle w:val="VerbatimChar"/>
              </w:rPr>
              <w:t xml:space="preserve">(doctor_id, slot_key)</w:t>
            </w:r>
            <w:r>
              <w:t xml:space="preserve"> </w:t>
            </w:r>
            <w:r>
              <w:t xml:space="preserve">plus transactional re-check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D-05</w:t>
            </w:r>
          </w:p>
        </w:tc>
        <w:tc>
          <w:tcPr/>
          <w:p>
            <w:pPr>
              <w:pStyle w:val="Compact"/>
            </w:pPr>
            <w:r>
              <w:t xml:space="preserve">Consultation carried no audio to the remote participant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TC-SYS-04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Missing audio m-line added; camera and microphone acquired independently; dedicated audio element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D-06</w:t>
            </w:r>
          </w:p>
        </w:tc>
        <w:tc>
          <w:tcPr/>
          <w:p>
            <w:pPr>
              <w:pStyle w:val="Compact"/>
            </w:pPr>
            <w:r>
              <w:t xml:space="preserve">Clinical note template presented as AI output when inference failed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TC-SYS-05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Fabricated content removed; the interface now states plainly when no model was reached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D-07</w:t>
            </w:r>
          </w:p>
        </w:tc>
        <w:tc>
          <w:tcPr/>
          <w:p>
            <w:pPr>
              <w:pStyle w:val="Compact"/>
            </w:pPr>
            <w:r>
              <w:t xml:space="preserve">AI endpoints exceed the NFR-2 interactive budget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TC-PERF-02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(accepted)</w:t>
            </w:r>
          </w:p>
        </w:tc>
        <w:tc>
          <w:tcPr/>
          <w:p>
            <w:pPr>
              <w:pStyle w:val="Compact"/>
            </w:pPr>
            <w:r>
              <w:t xml:space="preserve">Advisory paths only; move to a background job in v1.2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D-08</w:t>
            </w:r>
          </w:p>
        </w:tc>
        <w:tc>
          <w:tcPr/>
          <w:p>
            <w:pPr>
              <w:pStyle w:val="Compact"/>
            </w:pPr>
            <w:r>
              <w:t xml:space="preserve">Malformed import made the project fail to compile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TC-STAT-01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Import corrected; signature comparison also made constant-time</w:t>
            </w:r>
          </w:p>
        </w:tc>
      </w:tr>
    </w:tbl>
    <w:p>
      <w:pPr>
        <w:pStyle w:val="BodyText"/>
      </w:pPr>
      <w:r>
        <w:t xml:space="preserve">D-06 is worth singling out. When inference was unreachable, the system filled the</w:t>
      </w:r>
      <w:r>
        <w:t xml:space="preserve"> </w:t>
      </w:r>
      <w:r>
        <w:t xml:space="preserve">clinical note from a keyword-matched template — any transcript containing the</w:t>
      </w:r>
      <w:r>
        <w:t xml:space="preserve"> </w:t>
      </w:r>
      <w:r>
        <w:t xml:space="preserve">letters "bp" produced a confident hypertension diagnosis with a prescription. It</w:t>
      </w:r>
      <w:r>
        <w:t xml:space="preserve"> </w:t>
      </w:r>
      <w:r>
        <w:t xml:space="preserve">was indistinguishable from a generated answer in the interface, so an outage</w:t>
      </w:r>
      <w:r>
        <w:t xml:space="preserve"> </w:t>
      </w:r>
      <w:r>
        <w:t xml:space="preserve">looked like a working feature. The template was removed rather than improved: a</w:t>
      </w:r>
      <w:r>
        <w:t xml:space="preserve"> </w:t>
      </w:r>
      <w:r>
        <w:t xml:space="preserve">blank note the clinician must complete is the only safe failure mode.</w:t>
      </w:r>
    </w:p>
    <w:p>
      <w:r>
        <w:pict>
          <v:rect style="width:0;height:1.5pt" o:hralign="center" o:hrstd="t" o:hr="t"/>
        </w:pict>
      </w:r>
    </w:p>
    <w:bookmarkEnd w:id="34"/>
    <w:bookmarkStart w:id="35" w:name="Xc97823270d3c20f36474828278daeb90e636e1c"/>
    <w:p>
      <w:pPr>
        <w:pStyle w:val="Heading1"/>
      </w:pPr>
      <w:r>
        <w:t xml:space="preserve">8. Traceability and Conclusion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FR-2.6 (safety-critical)</w:t>
            </w:r>
          </w:p>
        </w:tc>
        <w:tc>
          <w:tcPr/>
          <w:p>
            <w:pPr>
              <w:pStyle w:val="Compact"/>
            </w:pPr>
            <w:r>
              <w:t xml:space="preserve">TC-UNIT-01, 02, 03, 13, TC-SYS-02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 – FR-2.5, FR-2.9 – FR-2.11</w:t>
            </w:r>
          </w:p>
        </w:tc>
        <w:tc>
          <w:tcPr/>
          <w:p>
            <w:pPr>
              <w:pStyle w:val="Compact"/>
            </w:pPr>
            <w:r>
              <w:t xml:space="preserve">TC-UNIT-04 – 08, 10,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 – FR-3.4, FR-3.10</w:t>
            </w:r>
          </w:p>
        </w:tc>
        <w:tc>
          <w:tcPr/>
          <w:p>
            <w:pPr>
              <w:pStyle w:val="Compact"/>
            </w:pPr>
            <w:r>
              <w:t xml:space="preserve">TC-SCH-01 – 05, 12 – 16, TC-INT-03,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FR-3.6 (concurrency)</w:t>
            </w:r>
          </w:p>
        </w:tc>
        <w:tc>
          <w:tcPr/>
          <w:p>
            <w:pPr>
              <w:pStyle w:val="Compact"/>
            </w:pPr>
            <w:r>
              <w:t xml:space="preserve">TC-INT-05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FR-3.7 – FR-3.9</w:t>
            </w:r>
          </w:p>
        </w:tc>
        <w:tc>
          <w:tcPr/>
          <w:p>
            <w:pPr>
              <w:pStyle w:val="Compact"/>
            </w:pPr>
            <w:r>
              <w:t xml:space="preserve">TC-SCH-07, TC-INT-06, TC-SYS-07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FR-4.x (payment)</w:t>
            </w:r>
          </w:p>
        </w:tc>
        <w:tc>
          <w:tcPr/>
          <w:p>
            <w:pPr>
              <w:pStyle w:val="Compact"/>
            </w:pPr>
            <w:r>
              <w:t xml:space="preserve">TC-SYS-01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FR-5.x (clinical workflow)</w:t>
            </w:r>
          </w:p>
        </w:tc>
        <w:tc>
          <w:tcPr/>
          <w:p>
            <w:pPr>
              <w:pStyle w:val="Compact"/>
            </w:pPr>
            <w:r>
              <w:t xml:space="preserve">TC-REC-01 – 05, TC-SYS-03, 05, TC-INT-08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FR-6.x (video consultation)</w:t>
            </w:r>
          </w:p>
        </w:tc>
        <w:tc>
          <w:tcPr/>
          <w:p>
            <w:pPr>
              <w:pStyle w:val="Compact"/>
            </w:pPr>
            <w:r>
              <w:t xml:space="preserve">TC-SYS-04, TC-SUP-08 –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FR-8.x (governance)</w:t>
            </w:r>
          </w:p>
        </w:tc>
        <w:tc>
          <w:tcPr/>
          <w:p>
            <w:pPr>
              <w:pStyle w:val="Compact"/>
            </w:pPr>
            <w:r>
              <w:t xml:space="preserve">TC-SYS-06, TC-INT-10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/ NFR-2 / NFR-3</w:t>
            </w:r>
          </w:p>
        </w:tc>
        <w:tc>
          <w:tcPr/>
          <w:p>
            <w:pPr>
              <w:pStyle w:val="Compact"/>
            </w:pPr>
            <w:r>
              <w:t xml:space="preserve">TC-PERF-01 / 02 /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 – NFR-12</w:t>
            </w:r>
          </w:p>
        </w:tc>
        <w:tc>
          <w:tcPr/>
          <w:p>
            <w:pPr>
              <w:pStyle w:val="Compact"/>
            </w:pPr>
            <w:r>
              <w:t xml:space="preserve">SEC-01 – 09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The prioritised functional requirements are met and evidenced.</w:t>
      </w:r>
      <w:r>
        <w:t xml:space="preserve"> </w:t>
      </w:r>
      <w:r>
        <w:t xml:space="preserve">Both requirements identified in the SRS as carrying disproportionate weight —</w:t>
      </w:r>
      <w:r>
        <w:t xml:space="preserve"> </w:t>
      </w:r>
      <w:r>
        <w:t xml:space="preserve">FR-2.6 and FR-3.6 — are covered by dedicated tests and pass. Performance is</w:t>
      </w:r>
      <w:r>
        <w:t xml:space="preserve"> </w:t>
      </w:r>
      <w:r>
        <w:t xml:space="preserve">comfortably inside budget.</w:t>
      </w:r>
    </w:p>
    <w:p>
      <w:pPr>
        <w:pStyle w:val="BodyText"/>
      </w:pPr>
      <w:r>
        <w:t xml:space="preserve">The security posture is the honest exception: four probes fail and one is</w:t>
      </w:r>
      <w:r>
        <w:t xml:space="preserve"> </w:t>
      </w:r>
      <w:r>
        <w:t xml:space="preserve">partial, all traceable to authorisation coverage that is correct in mechanism but</w:t>
      </w:r>
      <w:r>
        <w:t xml:space="preserve"> </w:t>
      </w:r>
      <w:r>
        <w:t xml:space="preserve">incomplete in application. That is stated as a failure here, priced in</w:t>
      </w:r>
      <w:r>
        <w:t xml:space="preserve"> </w:t>
      </w:r>
      <w:r>
        <w:rPr>
          <w:rStyle w:val="VerbatimChar"/>
        </w:rPr>
        <w:t xml:space="preserve">Technical_Debt_Plan.docx</w:t>
      </w:r>
      <w:r>
        <w:t xml:space="preserve">, and reflected in the deployment notice. The system is</w:t>
      </w:r>
      <w:r>
        <w:t xml:space="preserve"> </w:t>
      </w:r>
      <w:r>
        <w:t xml:space="preserve">a sound demonstrator and is not yet fit to hold real patient data.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Testing and Quality Assurance Report.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pulsetriage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ulsetriage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and Quality Assurance Report</dc:title>
  <dc:creator>Ernest Nketia Asubonteng (22424715)</dc:creator>
  <dc:language>en-GB</dc:language>
  <cp:keywords/>
  <dcterms:created xsi:type="dcterms:W3CDTF">2026-08-13T10:37:19Z</dcterms:created>
  <dcterms:modified xsi:type="dcterms:W3CDTF">2026-08-13T10:37:19Z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CSCD 602 Advanced Software Engineering · University of Ghana</vt:lpwstr>
  </property>
  <property fmtid="{D5CDD505-2E9C-101B-9397-08002B2CF9AE}" pid="3" name="subtitle">
    <vt:lpwstr>PulseTriage — Telehealth Appointment &amp; Urgency Auto-Triage System</vt:lpwstr>
  </property>
</Properties>
</file>