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60"/>
          <w:szCs w:val="60"/>
        </w:rPr>
        <w:t xml:space="preserve"/>
      </w:r>
    </w:p>
    <w:p>
      <w:pPr>
        <w:spacing w:after="40" w:before="0"/>
        <w:jc w:val="center"/>
      </w:pPr>
      <w:r>
        <w:rPr>
          <w:rFonts w:ascii="Arial" w:cs="Arial" w:eastAsia="Arial" w:hAnsi="Arial"/>
          <w:b/>
          <w:bCs/>
          <w:color w:val="0D2B5E"/>
          <w:sz w:val="60"/>
          <w:szCs w:val="60"/>
        </w:rPr>
        <w:t xml:space="preserve">🦁 EduBoost SA</w:t>
      </w:r>
    </w:p>
    <w:p>
      <w:pPr>
        <w:spacing w:after="80" w:before="0"/>
        <w:jc w:val="center"/>
      </w:pPr>
      <w:r>
        <w:rPr>
          <w:rFonts w:ascii="Arial" w:cs="Arial" w:eastAsia="Arial" w:hAnsi="Arial"/>
          <w:b/>
          <w:bCs/>
          <w:color w:val="1A56A0"/>
          <w:sz w:val="40"/>
          <w:szCs w:val="40"/>
        </w:rPr>
        <w:t xml:space="preserve">State of System Report</w:t>
      </w:r>
    </w:p>
    <w:p>
      <w:pPr>
        <w:pBdr>
          <w:bottom w:val="single" w:color="1A56A0" w:sz="12" w:space="6"/>
        </w:pBdr>
        <w:spacing w:after="200" w:before="0"/>
        <w:jc w:val="center"/>
      </w:pPr>
      <w:r>
        <w:rPr>
          <w:sz w:val="10"/>
          <w:szCs w:val="10"/>
        </w:rPr>
        <w:t xml:space="preserve"> </w:t>
      </w:r>
    </w:p>
    <w:p>
      <w:r>
        <w:rPr>
          <w:sz w:val="20"/>
          <w:szCs w:val="20"/>
        </w:rPr>
        <w:t xml:space="preserve"/>
      </w:r>
    </w:p>
    <w:p>
      <w:pPr>
        <w:spacing w:after="60" w:before="60"/>
        <w:jc w:val="center"/>
      </w:pPr>
      <w:r>
        <w:rPr>
          <w:rFonts w:ascii="Arial" w:cs="Arial" w:eastAsia="Arial" w:hAnsi="Arial"/>
          <w:i/>
          <w:iCs/>
          <w:color w:val="3D4660"/>
          <w:sz w:val="24"/>
          <w:szCs w:val="24"/>
        </w:rPr>
        <w:t xml:space="preserve">AI-Powered Adaptive Learning Platform for South African Learners</w:t>
      </w:r>
    </w:p>
    <w:p>
      <w:pPr>
        <w:spacing w:after="60" w:before="60"/>
        <w:jc w:val="center"/>
      </w:pPr>
      <w:r>
        <w:rPr>
          <w:rFonts w:ascii="Arial" w:cs="Arial" w:eastAsia="Arial" w:hAnsi="Arial"/>
          <w:color w:val="3D4660"/>
          <w:sz w:val="22"/>
          <w:szCs w:val="22"/>
        </w:rPr>
        <w:t xml:space="preserve">Grade R to Grade 7  |  CAPS Aligned  |  POPIA Oriented</w:t>
      </w:r>
    </w:p>
    <w:p>
      <w:r>
        <w:rPr>
          <w:sz w:val="40"/>
          <w:szCs w:val="40"/>
        </w:rPr>
        <w:t xml:space="preserve"/>
      </w:r>
    </w:p>
    <w:p>
      <w:pPr>
        <w:jc w:val="center"/>
      </w:pPr>
      <w:r>
        <w:rPr>
          <w:rFonts w:ascii="Arial" w:cs="Arial" w:eastAsia="Arial" w:hAnsi="Arial"/>
          <w:b/>
          <w:bCs/>
          <w:color w:val="3D4660"/>
          <w:sz w:val="20"/>
          <w:szCs w:val="20"/>
        </w:rPr>
        <w:t xml:space="preserve">Repository:</w:t>
      </w:r>
      <w:r>
        <w:rPr>
          <w:rFonts w:ascii="Arial" w:cs="Arial" w:eastAsia="Arial" w:hAnsi="Arial"/>
          <w:color w:val="1A56A0"/>
          <w:sz w:val="20"/>
          <w:szCs w:val="20"/>
        </w:rPr>
        <w:t xml:space="preserve">  github.com/NkgoloL/edo-boost-main</w:t>
      </w:r>
    </w:p>
    <w:p>
      <w:pPr>
        <w:jc w:val="center"/>
      </w:pPr>
      <w:r>
        <w:rPr>
          <w:rFonts w:ascii="Arial" w:cs="Arial" w:eastAsia="Arial" w:hAnsi="Arial"/>
          <w:b/>
          <w:bCs/>
          <w:color w:val="3D4660"/>
          <w:sz w:val="20"/>
          <w:szCs w:val="20"/>
        </w:rPr>
        <w:t xml:space="preserve">Report Date:</w:t>
      </w:r>
      <w:r>
        <w:rPr>
          <w:rFonts w:ascii="Arial" w:cs="Arial" w:eastAsia="Arial" w:hAnsi="Arial"/>
          <w:color w:val="1A1A2E"/>
          <w:sz w:val="20"/>
          <w:szCs w:val="20"/>
        </w:rPr>
        <w:t xml:space="preserve">  29 April 2026</w:t>
      </w:r>
    </w:p>
    <w:p>
      <w:pPr>
        <w:jc w:val="center"/>
      </w:pPr>
      <w:r>
        <w:rPr>
          <w:rFonts w:ascii="Arial" w:cs="Arial" w:eastAsia="Arial" w:hAnsi="Arial"/>
          <w:b/>
          <w:bCs/>
          <w:color w:val="3D4660"/>
          <w:sz w:val="20"/>
          <w:szCs w:val="20"/>
        </w:rPr>
        <w:t xml:space="preserve">Status:</w:t>
      </w:r>
      <w:r>
        <w:rPr>
          <w:rFonts w:ascii="Arial" w:cs="Arial" w:eastAsia="Arial" w:hAnsi="Arial"/>
          <w:b/>
          <w:bCs/>
          <w:color w:val="E07B00"/>
          <w:sz w:val="20"/>
          <w:szCs w:val="20"/>
        </w:rPr>
        <w:t xml:space="preserve">  Active Development — Production Hardening Phase</w:t>
      </w:r>
    </w:p>
    <w:p>
      <w:r>
        <w:br w:type="page"/>
      </w:r>
    </w:p>
    <w:p>
      <w:pPr>
        <w:pStyle w:val="Heading1"/>
        <w:pBdr>
          <w:bottom w:val="single" w:color="1A56A0" w:sz="8" w:space="4"/>
        </w:pBdr>
        <w:spacing w:after="160" w:before="320"/>
      </w:pPr>
      <w:r>
        <w:rPr>
          <w:rFonts w:ascii="Arial" w:cs="Arial" w:eastAsia="Arial" w:hAnsi="Arial"/>
          <w:b/>
          <w:bCs/>
          <w:color w:val="0D2B5E"/>
          <w:sz w:val="32"/>
          <w:szCs w:val="32"/>
        </w:rPr>
        <w:t xml:space="preserve">1. Executive Summary</w:t>
      </w:r>
    </w:p>
    <w:p>
      <w:pPr>
        <w:spacing w:after="80" w:before="80"/>
      </w:pPr>
      <w:r>
        <w:rPr>
          <w:rFonts w:ascii="Arial" w:cs="Arial" w:eastAsia="Arial" w:hAnsi="Arial"/>
          <w:color w:val="1A1A2E"/>
          <w:sz w:val="22"/>
          <w:szCs w:val="22"/>
        </w:rPr>
        <w:t xml:space="preserve">EduBoost SA is an AI-powered adaptive learning platform designed to serve South African learners from Grade R through Grade 7. Built on the principle of ubuntu — "I am because we are" — the platform aims to democratise access to personalised, culturally-relevant education in a country where educational inequality remains a critical challenge.</w:t>
      </w:r>
    </w:p>
    <w:p>
      <w:r>
        <w:rPr>
          <w:sz w:val="10"/>
          <w:szCs w:val="10"/>
        </w:rPr>
        <w:t xml:space="preserve"/>
      </w:r>
    </w:p>
    <w:p>
      <w:pPr>
        <w:spacing w:after="80" w:before="80"/>
      </w:pPr>
      <w:r>
        <w:rPr>
          <w:rFonts w:ascii="Arial" w:cs="Arial" w:eastAsia="Arial" w:hAnsi="Arial"/>
          <w:color w:val="1A1A2E"/>
          <w:sz w:val="22"/>
          <w:szCs w:val="22"/>
        </w:rPr>
        <w:t xml:space="preserve">The codebase is currently in an active production-hardening phase. Core backend and frontend foundations are in place, with observability infrastructure, background task processing, and initial POPIA-oriented design all partially implemented. The system is not yet production-grade end-to-end, with known gaps in end-to-end test coverage, deployment standardisation, and full consent/audit verification.</w:t>
      </w:r>
    </w:p>
    <w:p>
      <w:r>
        <w:rPr>
          <w:sz w:val="10"/>
          <w:szCs w:val="10"/>
        </w:rPr>
        <w:t xml:space="preserve"/>
      </w:r>
    </w:p>
    <w:p>
      <w:pPr>
        <w:pStyle w:val="Heading2"/>
        <w:spacing w:after="120" w:before="240"/>
      </w:pPr>
      <w:r>
        <w:rPr>
          <w:rFonts w:ascii="Arial" w:cs="Arial" w:eastAsia="Arial" w:hAnsi="Arial"/>
          <w:b/>
          <w:bCs/>
          <w:color w:val="1A56A0"/>
          <w:sz w:val="26"/>
          <w:szCs w:val="26"/>
        </w:rPr>
        <w:t xml:space="preserve">Overall Health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400"/>
        <w:gridCol w:w="2200"/>
      </w:tblGrid>
      <w:tr>
        <w:trPr>
          <w:tblHeader/>
        </w:trPr>
        <w:tc>
          <w:tcPr>
            <w:tcW w:type="dxa" w:w="376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20"/>
                <w:szCs w:val="20"/>
              </w:rPr>
              <w:t xml:space="preserve">Domain</w:t>
            </w:r>
          </w:p>
        </w:tc>
        <w:tc>
          <w:tcPr>
            <w:tcW w:type="dxa" w:w="34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20"/>
                <w:szCs w:val="20"/>
              </w:rPr>
              <w:t xml:space="preserve">Current State</w:t>
            </w:r>
          </w:p>
        </w:tc>
        <w:tc>
          <w:tcPr>
            <w:tcW w:type="dxa" w:w="22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Backend API (FastAPI)</w:t>
            </w:r>
          </w:p>
        </w:tc>
        <w:tc>
          <w:tcPr>
            <w:tcW w:type="dxa" w:w="3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Functional, dev mode, endpoints documented</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Frontend (Next.js)</w:t>
            </w:r>
          </w:p>
        </w:tc>
        <w:tc>
          <w:tcPr>
            <w:tcW w:type="dxa" w:w="3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App Router modular; UI polish in progress</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Database &amp; Migrations</w:t>
            </w:r>
          </w:p>
        </w:tc>
        <w:tc>
          <w:tcPr>
            <w:tcW w:type="dxa" w:w="3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Transitioning to full Alembic workflow</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Authentication &amp; Security</w:t>
            </w:r>
          </w:p>
        </w:tc>
        <w:tc>
          <w:tcPr>
            <w:tcW w:type="dxa" w:w="3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JWT + encryption in place; E2E gaps remain</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AI/LLM Integration</w:t>
            </w:r>
          </w:p>
        </w:tc>
        <w:tc>
          <w:tcPr>
            <w:tcW w:type="dxa" w:w="3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Groq primary, Anthropic fallback, wired up</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Observability &amp; Monitoring</w:t>
            </w:r>
          </w:p>
        </w:tc>
        <w:tc>
          <w:tcPr>
            <w:tcW w:type="dxa" w:w="3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Prometheus + Grafana scaffolded</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Testing Coverage</w:t>
            </w:r>
          </w:p>
        </w:tc>
        <w:tc>
          <w:tcPr>
            <w:tcW w:type="dxa" w:w="3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Unit + integration tests; E2E coverage thin</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CI/CD Pipeline</w:t>
            </w:r>
          </w:p>
        </w:tc>
        <w:tc>
          <w:tcPr>
            <w:tcW w:type="dxa" w:w="3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GitHub Actions present; gates evolving</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POPIA Compliance</w:t>
            </w:r>
          </w:p>
        </w:tc>
        <w:tc>
          <w:tcPr>
            <w:tcW w:type="dxa" w:w="3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Design goals defined; not fully verified</w:t>
            </w:r>
          </w:p>
        </w:tc>
        <w:tc>
          <w:tcPr>
            <w:tcW w:type="dxa" w:w="16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vAlign w:val="center"/>
          </w:tcPr>
          <w:p>
            <w:pPr>
              <w:jc w:val="center"/>
            </w:pPr>
            <w:r>
              <w:rPr>
                <w:rFonts w:ascii="Arial" w:cs="Arial" w:eastAsia="Arial" w:hAnsi="Arial"/>
                <w:b/>
                <w:bCs/>
                <w:color w:val="3D4660"/>
                <w:sz w:val="18"/>
                <w:szCs w:val="18"/>
              </w:rPr>
              <w:t xml:space="preserve">Planned</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Production Deployment</w:t>
            </w:r>
          </w:p>
        </w:tc>
        <w:tc>
          <w:tcPr>
            <w:tcW w:type="dxa" w:w="3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local only; K8s/Bicep WIP</w:t>
            </w:r>
          </w:p>
        </w:tc>
        <w:tc>
          <w:tcPr>
            <w:tcW w:type="dxa" w:w="1600"/>
            <w:tcBorders>
              <w:top w:val="single" w:color="D0D5DE" w:sz="1"/>
              <w:left w:val="single" w:color="D0D5DE" w:sz="1"/>
              <w:bottom w:val="single" w:color="D0D5DE" w:sz="1"/>
              <w:right w:val="single" w:color="D0D5DE" w:sz="1"/>
            </w:tcBorders>
            <w:shd w:fill="FADADD"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Not Started</w:t>
            </w:r>
          </w:p>
        </w:tc>
      </w:tr>
    </w:tbl>
    <w:p>
      <w:r>
        <w:rPr>
          <w:sz w:val="10"/>
          <w:szCs w:val="10"/>
        </w:rPr>
        <w:t xml:space="preserve"/>
      </w:r>
    </w:p>
    <w:p>
      <w:r>
        <w:br w:type="page"/>
      </w:r>
    </w:p>
    <w:p>
      <w:pPr>
        <w:pStyle w:val="Heading1"/>
        <w:pBdr>
          <w:bottom w:val="single" w:color="1A56A0" w:sz="8" w:space="4"/>
        </w:pBdr>
        <w:spacing w:after="160" w:before="320"/>
      </w:pPr>
      <w:r>
        <w:rPr>
          <w:rFonts w:ascii="Arial" w:cs="Arial" w:eastAsia="Arial" w:hAnsi="Arial"/>
          <w:b/>
          <w:bCs/>
          <w:color w:val="0D2B5E"/>
          <w:sz w:val="32"/>
          <w:szCs w:val="32"/>
        </w:rPr>
        <w:t xml:space="preserve">2. Project Overview</w:t>
      </w:r>
    </w:p>
    <w:p>
      <w:pPr>
        <w:pStyle w:val="Heading2"/>
        <w:spacing w:after="120" w:before="240"/>
      </w:pPr>
      <w:r>
        <w:rPr>
          <w:rFonts w:ascii="Arial" w:cs="Arial" w:eastAsia="Arial" w:hAnsi="Arial"/>
          <w:b/>
          <w:bCs/>
          <w:color w:val="1A56A0"/>
          <w:sz w:val="26"/>
          <w:szCs w:val="26"/>
        </w:rPr>
        <w:t xml:space="preserve">2.1 Mission &amp; Context</w:t>
      </w:r>
    </w:p>
    <w:p>
      <w:pPr>
        <w:spacing w:after="80" w:before="80"/>
      </w:pPr>
      <w:r>
        <w:rPr>
          <w:rFonts w:ascii="Arial" w:cs="Arial" w:eastAsia="Arial" w:hAnsi="Arial"/>
          <w:color w:val="1A1A2E"/>
          <w:sz w:val="22"/>
          <w:szCs w:val="22"/>
        </w:rPr>
        <w:t xml:space="preserve">EduBoost SA targets a significant gap in South African primary education by providing adaptive, AI-generated lessons that are culturally contextualised — referencing ubuntu, braai, rands, and local fauna — to ensure learners find content relatable. The platform aligns with the Curriculum and Assessment Policy Statement (CAPS) mandated by the South African Department of Basic Education.</w:t>
      </w:r>
    </w:p>
    <w:p>
      <w:r>
        <w:rPr>
          <w:sz w:val="10"/>
          <w:szCs w:val="10"/>
        </w:rPr>
        <w:t xml:space="preserve"/>
      </w:r>
    </w:p>
    <w:p>
      <w:pPr>
        <w:pStyle w:val="Heading2"/>
        <w:spacing w:after="120" w:before="240"/>
      </w:pPr>
      <w:r>
        <w:rPr>
          <w:rFonts w:ascii="Arial" w:cs="Arial" w:eastAsia="Arial" w:hAnsi="Arial"/>
          <w:b/>
          <w:bCs/>
          <w:color w:val="1A56A0"/>
          <w:sz w:val="26"/>
          <w:szCs w:val="26"/>
        </w:rPr>
        <w:t xml:space="preserve">2.2 Target Users</w:t>
      </w:r>
    </w:p>
    <w:p>
      <w:pPr>
        <w:pStyle w:val="ListParagraph"/>
        <w:numPr>
          <w:ilvl w:val="0"/>
          <w:numId w:val="2"/>
        </w:numPr>
        <w:spacing w:after="60" w:before="60"/>
      </w:pPr>
      <w:r>
        <w:rPr>
          <w:rFonts w:ascii="Arial" w:cs="Arial" w:eastAsia="Arial" w:hAnsi="Arial"/>
          <w:color w:val="1A1A2E"/>
          <w:sz w:val="22"/>
          <w:szCs w:val="22"/>
        </w:rPr>
        <w:t xml:space="preserve">Learners: Grade R (age ~5) through Grade 7 (age ~13)</w:t>
      </w:r>
    </w:p>
    <w:p>
      <w:pPr>
        <w:pStyle w:val="ListParagraph"/>
        <w:numPr>
          <w:ilvl w:val="0"/>
          <w:numId w:val="2"/>
        </w:numPr>
        <w:spacing w:after="60" w:before="60"/>
      </w:pPr>
      <w:r>
        <w:rPr>
          <w:rFonts w:ascii="Arial" w:cs="Arial" w:eastAsia="Arial" w:hAnsi="Arial"/>
          <w:color w:val="1A1A2E"/>
          <w:sz w:val="22"/>
          <w:szCs w:val="22"/>
        </w:rPr>
        <w:t xml:space="preserve">Parents/Guardians: via a parent portal for progress visibility</w:t>
      </w:r>
    </w:p>
    <w:p>
      <w:pPr>
        <w:pStyle w:val="ListParagraph"/>
        <w:numPr>
          <w:ilvl w:val="0"/>
          <w:numId w:val="2"/>
        </w:numPr>
        <w:spacing w:after="60" w:before="60"/>
      </w:pPr>
      <w:r>
        <w:rPr>
          <w:rFonts w:ascii="Arial" w:cs="Arial" w:eastAsia="Arial" w:hAnsi="Arial"/>
          <w:color w:val="1A1A2E"/>
          <w:sz w:val="22"/>
          <w:szCs w:val="22"/>
        </w:rPr>
        <w:t xml:space="preserve">Educational administrators and teachers (future roadmap)</w:t>
      </w:r>
    </w:p>
    <w:p>
      <w:r>
        <w:rPr>
          <w:sz w:val="10"/>
          <w:szCs w:val="10"/>
        </w:rPr>
        <w:t xml:space="preserve"/>
      </w:r>
    </w:p>
    <w:p>
      <w:pPr>
        <w:pStyle w:val="Heading2"/>
        <w:spacing w:after="120" w:before="240"/>
      </w:pPr>
      <w:r>
        <w:rPr>
          <w:rFonts w:ascii="Arial" w:cs="Arial" w:eastAsia="Arial" w:hAnsi="Arial"/>
          <w:b/>
          <w:bCs/>
          <w:color w:val="1A56A0"/>
          <w:sz w:val="26"/>
          <w:szCs w:val="26"/>
        </w:rPr>
        <w:t xml:space="preserve">2.3 Repository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36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0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bCs/>
                <w:color w:val="1A1A2E"/>
                <w:sz w:val="20"/>
                <w:szCs w:val="20"/>
              </w:rPr>
              <w:t xml:space="preserve">Repository</w:t>
            </w:r>
          </w:p>
        </w:tc>
        <w:tc>
          <w:tcPr>
            <w:tcW w:type="dxa" w:w="6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github.com/NkgoloL/edo-boost-main</w:t>
            </w:r>
          </w:p>
        </w:tc>
      </w:tr>
      <w:tr>
        <w:tc>
          <w:tcPr>
            <w:tcW w:type="dxa" w:w="30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Branch</w:t>
            </w:r>
          </w:p>
        </w:tc>
        <w:tc>
          <w:tcPr>
            <w:tcW w:type="dxa" w:w="6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main</w:t>
            </w:r>
          </w:p>
        </w:tc>
      </w:tr>
      <w:tr>
        <w:tc>
          <w:tcPr>
            <w:tcW w:type="dxa" w:w="30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bCs/>
                <w:color w:val="1A1A2E"/>
                <w:sz w:val="20"/>
                <w:szCs w:val="20"/>
              </w:rPr>
              <w:t xml:space="preserve">Total Commits</w:t>
            </w:r>
          </w:p>
        </w:tc>
        <w:tc>
          <w:tcPr>
            <w:tcW w:type="dxa" w:w="6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50 commits</w:t>
            </w:r>
          </w:p>
        </w:tc>
      </w:tr>
      <w:tr>
        <w:tc>
          <w:tcPr>
            <w:tcW w:type="dxa" w:w="30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Primary Language</w:t>
            </w:r>
          </w:p>
        </w:tc>
        <w:tc>
          <w:tcPr>
            <w:tcW w:type="dxa" w:w="6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Python (77.4%)</w:t>
            </w:r>
          </w:p>
        </w:tc>
      </w:tr>
      <w:tr>
        <w:tc>
          <w:tcPr>
            <w:tcW w:type="dxa" w:w="30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bCs/>
                <w:color w:val="1A1A2E"/>
                <w:sz w:val="20"/>
                <w:szCs w:val="20"/>
              </w:rPr>
              <w:t xml:space="preserve">Secondary Languages</w:t>
            </w:r>
          </w:p>
        </w:tc>
        <w:tc>
          <w:tcPr>
            <w:tcW w:type="dxa" w:w="6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JavaScript (13.0%), PLpgSQL (8.5%), Shell (0.9%), Bicep (0.1%), Mako (0.1%)</w:t>
            </w:r>
          </w:p>
        </w:tc>
      </w:tr>
      <w:tr>
        <w:tc>
          <w:tcPr>
            <w:tcW w:type="dxa" w:w="30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License</w:t>
            </w:r>
          </w:p>
        </w:tc>
        <w:tc>
          <w:tcPr>
            <w:tcW w:type="dxa" w:w="6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MIT</w:t>
            </w:r>
          </w:p>
        </w:tc>
      </w:tr>
      <w:tr>
        <w:tc>
          <w:tcPr>
            <w:tcW w:type="dxa" w:w="30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bCs/>
                <w:color w:val="1A1A2E"/>
                <w:sz w:val="20"/>
                <w:szCs w:val="20"/>
              </w:rPr>
              <w:t xml:space="preserve">Forks</w:t>
            </w:r>
          </w:p>
        </w:tc>
        <w:tc>
          <w:tcPr>
            <w:tcW w:type="dxa" w:w="6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1</w:t>
            </w:r>
          </w:p>
        </w:tc>
      </w:tr>
      <w:tr>
        <w:tc>
          <w:tcPr>
            <w:tcW w:type="dxa" w:w="30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Open Issues</w:t>
            </w:r>
          </w:p>
        </w:tc>
        <w:tc>
          <w:tcPr>
            <w:tcW w:type="dxa" w:w="6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 (tracked via audits/ directory)</w:t>
            </w:r>
          </w:p>
        </w:tc>
      </w:tr>
    </w:tbl>
    <w:p>
      <w:r>
        <w:rPr>
          <w:sz w:val="10"/>
          <w:szCs w:val="10"/>
        </w:rPr>
        <w:t xml:space="preserve"/>
      </w:r>
    </w:p>
    <w:p>
      <w:r>
        <w:br w:type="page"/>
      </w:r>
    </w:p>
    <w:p>
      <w:pPr>
        <w:pStyle w:val="Heading1"/>
        <w:pBdr>
          <w:bottom w:val="single" w:color="1A56A0" w:sz="8" w:space="4"/>
        </w:pBdr>
        <w:spacing w:after="160" w:before="320"/>
      </w:pPr>
      <w:r>
        <w:rPr>
          <w:rFonts w:ascii="Arial" w:cs="Arial" w:eastAsia="Arial" w:hAnsi="Arial"/>
          <w:b/>
          <w:bCs/>
          <w:color w:val="0D2B5E"/>
          <w:sz w:val="32"/>
          <w:szCs w:val="32"/>
        </w:rPr>
        <w:t xml:space="preserve">3. System Architecture</w:t>
      </w:r>
    </w:p>
    <w:p>
      <w:pPr>
        <w:pStyle w:val="Heading2"/>
        <w:spacing w:after="120" w:before="240"/>
      </w:pPr>
      <w:r>
        <w:rPr>
          <w:rFonts w:ascii="Arial" w:cs="Arial" w:eastAsia="Arial" w:hAnsi="Arial"/>
          <w:b/>
          <w:bCs/>
          <w:color w:val="1A56A0"/>
          <w:sz w:val="26"/>
          <w:szCs w:val="26"/>
        </w:rPr>
        <w:t xml:space="preserve">3.1 High-Level Architecture</w:t>
      </w:r>
    </w:p>
    <w:p>
      <w:pPr>
        <w:spacing w:after="80" w:before="80"/>
      </w:pPr>
      <w:r>
        <w:rPr>
          <w:rFonts w:ascii="Arial" w:cs="Arial" w:eastAsia="Arial" w:hAnsi="Arial"/>
          <w:color w:val="1A1A2E"/>
          <w:sz w:val="22"/>
          <w:szCs w:val="22"/>
        </w:rPr>
        <w:t xml:space="preserve">EduBoost SA follows a layered, service-oriented architecture. The Next.js frontend communicates with the FastAPI backend via a RESTful API. The backend coordinates with PostgreSQL for persistence, Redis for caching and task brokerage, and Celery workers for asynchronous background processing such as RLHF batch jobs, report generation, and email delivery.</w:t>
      </w:r>
    </w:p>
    <w:p>
      <w:r>
        <w:rPr>
          <w:sz w:val="10"/>
          <w:szCs w:val="10"/>
        </w:rPr>
        <w:t xml:space="preserve"/>
      </w:r>
    </w:p>
    <w:p>
      <w:pPr>
        <w:pStyle w:val="Heading2"/>
        <w:spacing w:after="120" w:before="240"/>
      </w:pPr>
      <w:r>
        <w:rPr>
          <w:rFonts w:ascii="Arial" w:cs="Arial" w:eastAsia="Arial" w:hAnsi="Arial"/>
          <w:b/>
          <w:bCs/>
          <w:color w:val="1A56A0"/>
          <w:sz w:val="26"/>
          <w:szCs w:val="26"/>
        </w:rPr>
        <w:t xml:space="preserve">3.2 Component Breakdown</w:t>
      </w:r>
    </w:p>
    <w:p>
      <w:pPr>
        <w:pStyle w:val="Heading3"/>
        <w:spacing w:after="80" w:before="180"/>
      </w:pPr>
      <w:r>
        <w:rPr>
          <w:rFonts w:ascii="Arial" w:cs="Arial" w:eastAsia="Arial" w:hAnsi="Arial"/>
          <w:b/>
          <w:bCs/>
          <w:color w:val="3D4660"/>
          <w:sz w:val="22"/>
          <w:szCs w:val="22"/>
        </w:rPr>
        <w:t xml:space="preserve">Frontend — Next.js 14 (App Router)</w:t>
      </w:r>
    </w:p>
    <w:p>
      <w:pPr>
        <w:spacing w:after="80" w:before="80"/>
      </w:pPr>
      <w:r>
        <w:rPr>
          <w:rFonts w:ascii="Arial" w:cs="Arial" w:eastAsia="Arial" w:hAnsi="Arial"/>
          <w:color w:val="1A1A2E"/>
          <w:sz w:val="22"/>
          <w:szCs w:val="22"/>
        </w:rPr>
        <w:t xml:space="preserve">Located at app/frontend/, the frontend uses the Next.js App Router pattern for modular page-level architecture. Key pages include dashboard, lesson delivery, diagnostic assessment, and a parent portal. A production-grade service layer exists at src/lib/api/ for coordinating API calls.</w:t>
      </w:r>
    </w:p>
    <w:p>
      <w:r>
        <w:rPr>
          <w:sz w:val="10"/>
          <w:szCs w:val="10"/>
        </w:rPr>
        <w:t xml:space="preserve"/>
      </w:r>
    </w:p>
    <w:p>
      <w:pPr>
        <w:pStyle w:val="Heading3"/>
        <w:spacing w:after="80" w:before="180"/>
      </w:pPr>
      <w:r>
        <w:rPr>
          <w:rFonts w:ascii="Arial" w:cs="Arial" w:eastAsia="Arial" w:hAnsi="Arial"/>
          <w:b/>
          <w:bCs/>
          <w:color w:val="3D4660"/>
          <w:sz w:val="22"/>
          <w:szCs w:val="22"/>
        </w:rPr>
        <w:t xml:space="preserve">Backend — FastAPI (Python 3.11)</w:t>
      </w:r>
    </w:p>
    <w:p>
      <w:pPr>
        <w:spacing w:after="80" w:before="80"/>
      </w:pPr>
      <w:r>
        <w:rPr>
          <w:rFonts w:ascii="Arial" w:cs="Arial" w:eastAsia="Arial" w:hAnsi="Arial"/>
          <w:color w:val="1A1A2E"/>
          <w:sz w:val="22"/>
          <w:szCs w:val="22"/>
        </w:rPr>
        <w:t xml:space="preserve">Located at app/api/, the FastAPI application is the core system backbone. It includes:</w:t>
      </w:r>
    </w:p>
    <w:p>
      <w:pPr>
        <w:pStyle w:val="ListParagraph"/>
        <w:numPr>
          <w:ilvl w:val="0"/>
          <w:numId w:val="2"/>
        </w:numPr>
        <w:spacing w:after="60" w:before="60"/>
      </w:pPr>
      <w:r>
        <w:rPr>
          <w:rFonts w:ascii="Arial" w:cs="Arial" w:eastAsia="Arial" w:hAnsi="Arial"/>
          <w:color w:val="1A1A2E"/>
          <w:sz w:val="22"/>
          <w:szCs w:val="22"/>
        </w:rPr>
        <w:t xml:space="preserve">Routers: REST endpoint definitions</w:t>
      </w:r>
    </w:p>
    <w:p>
      <w:pPr>
        <w:pStyle w:val="ListParagraph"/>
        <w:numPr>
          <w:ilvl w:val="0"/>
          <w:numId w:val="2"/>
        </w:numPr>
        <w:spacing w:after="60" w:before="60"/>
      </w:pPr>
      <w:r>
        <w:rPr>
          <w:rFonts w:ascii="Arial" w:cs="Arial" w:eastAsia="Arial" w:hAnsi="Arial"/>
          <w:color w:val="1A1A2E"/>
          <w:sz w:val="22"/>
          <w:szCs w:val="22"/>
        </w:rPr>
        <w:t xml:space="preserve">Services: LLM orchestration and lesson generation logic</w:t>
      </w:r>
    </w:p>
    <w:p>
      <w:pPr>
        <w:pStyle w:val="ListParagraph"/>
        <w:numPr>
          <w:ilvl w:val="0"/>
          <w:numId w:val="2"/>
        </w:numPr>
        <w:spacing w:after="60" w:before="60"/>
      </w:pPr>
      <w:r>
        <w:rPr>
          <w:rFonts w:ascii="Arial" w:cs="Arial" w:eastAsia="Arial" w:hAnsi="Arial"/>
          <w:color w:val="1A1A2E"/>
          <w:sz w:val="22"/>
          <w:szCs w:val="22"/>
        </w:rPr>
        <w:t xml:space="preserve">ML module: IRT (Item Response Theory) adaptive engine for diagnostics</w:t>
      </w:r>
    </w:p>
    <w:p>
      <w:pPr>
        <w:pStyle w:val="ListParagraph"/>
        <w:numPr>
          <w:ilvl w:val="0"/>
          <w:numId w:val="2"/>
        </w:numPr>
        <w:spacing w:after="60" w:before="60"/>
      </w:pPr>
      <w:r>
        <w:rPr>
          <w:rFonts w:ascii="Arial" w:cs="Arial" w:eastAsia="Arial" w:hAnsi="Arial"/>
          <w:color w:val="1A1A2E"/>
          <w:sz w:val="22"/>
          <w:szCs w:val="22"/>
        </w:rPr>
        <w:t xml:space="preserve">Models: SQLAlchemy ORM definitions</w:t>
      </w:r>
    </w:p>
    <w:p>
      <w:pPr>
        <w:pStyle w:val="ListParagraph"/>
        <w:numPr>
          <w:ilvl w:val="0"/>
          <w:numId w:val="2"/>
        </w:numPr>
        <w:spacing w:after="60" w:before="60"/>
      </w:pPr>
      <w:r>
        <w:rPr>
          <w:rFonts w:ascii="Arial" w:cs="Arial" w:eastAsia="Arial" w:hAnsi="Arial"/>
          <w:color w:val="1A1A2E"/>
          <w:sz w:val="22"/>
          <w:szCs w:val="22"/>
        </w:rPr>
        <w:t xml:space="preserve">Orchestrator: Workflow coordination layer</w:t>
      </w:r>
    </w:p>
    <w:p>
      <w:pPr>
        <w:pStyle w:val="ListParagraph"/>
        <w:numPr>
          <w:ilvl w:val="0"/>
          <w:numId w:val="2"/>
        </w:numPr>
        <w:spacing w:after="60" w:before="60"/>
      </w:pPr>
      <w:r>
        <w:rPr>
          <w:rFonts w:ascii="Arial" w:cs="Arial" w:eastAsia="Arial" w:hAnsi="Arial"/>
          <w:color w:val="1A1A2E"/>
          <w:sz w:val="22"/>
          <w:szCs w:val="22"/>
        </w:rPr>
        <w:t xml:space="preserve">Judiciary: Policy and validation enforcement</w:t>
      </w:r>
    </w:p>
    <w:p>
      <w:pPr>
        <w:pStyle w:val="ListParagraph"/>
        <w:numPr>
          <w:ilvl w:val="0"/>
          <w:numId w:val="2"/>
        </w:numPr>
        <w:spacing w:after="60" w:before="60"/>
      </w:pPr>
      <w:r>
        <w:rPr>
          <w:rFonts w:ascii="Arial" w:cs="Arial" w:eastAsia="Arial" w:hAnsi="Arial"/>
          <w:color w:val="1A1A2E"/>
          <w:sz w:val="22"/>
          <w:szCs w:val="22"/>
        </w:rPr>
        <w:t xml:space="preserve">Fourth Estate: Audit and event logging support</w:t>
      </w:r>
    </w:p>
    <w:p>
      <w:pPr>
        <w:pStyle w:val="ListParagraph"/>
        <w:numPr>
          <w:ilvl w:val="0"/>
          <w:numId w:val="2"/>
        </w:numPr>
        <w:spacing w:after="60" w:before="60"/>
      </w:pPr>
      <w:r>
        <w:rPr>
          <w:rFonts w:ascii="Arial" w:cs="Arial" w:eastAsia="Arial" w:hAnsi="Arial"/>
          <w:color w:val="1A1A2E"/>
          <w:sz w:val="22"/>
          <w:szCs w:val="22"/>
        </w:rPr>
        <w:t xml:space="preserve">Profiler: Performance profiling helpers</w:t>
      </w:r>
    </w:p>
    <w:p>
      <w:pPr>
        <w:pStyle w:val="ListParagraph"/>
        <w:numPr>
          <w:ilvl w:val="0"/>
          <w:numId w:val="2"/>
        </w:numPr>
        <w:spacing w:after="60" w:before="60"/>
      </w:pPr>
      <w:r>
        <w:rPr>
          <w:rFonts w:ascii="Arial" w:cs="Arial" w:eastAsia="Arial" w:hAnsi="Arial"/>
          <w:color w:val="1A1A2E"/>
          <w:sz w:val="22"/>
          <w:szCs w:val="22"/>
        </w:rPr>
        <w:t xml:space="preserve">Constitutional Schema: Typing and schema governance helpers</w:t>
      </w:r>
    </w:p>
    <w:p>
      <w:r>
        <w:rPr>
          <w:sz w:val="10"/>
          <w:szCs w:val="10"/>
        </w:rPr>
        <w:t xml:space="preserve"/>
      </w:r>
    </w:p>
    <w:p>
      <w:pPr>
        <w:pStyle w:val="Heading3"/>
        <w:spacing w:after="80" w:before="180"/>
      </w:pPr>
      <w:r>
        <w:rPr>
          <w:rFonts w:ascii="Arial" w:cs="Arial" w:eastAsia="Arial" w:hAnsi="Arial"/>
          <w:b/>
          <w:bCs/>
          <w:color w:val="3D4660"/>
          <w:sz w:val="22"/>
          <w:szCs w:val="22"/>
        </w:rPr>
        <w:t xml:space="preserve">Database — PostgreSQL 16</w:t>
      </w:r>
    </w:p>
    <w:p>
      <w:pPr>
        <w:spacing w:after="80" w:before="80"/>
      </w:pPr>
      <w:r>
        <w:rPr>
          <w:rFonts w:ascii="Arial" w:cs="Arial" w:eastAsia="Arial" w:hAnsi="Arial"/>
          <w:color w:val="1A1A2E"/>
          <w:sz w:val="22"/>
          <w:szCs w:val="22"/>
        </w:rPr>
        <w:t xml:space="preserve">The system uses PostgreSQL 16 via asyncpg for async queries. Schema management is transitioning from runtime auto-creation to a fully Alembic-driven migration workflow. Database initialisation, seeding, and audit migration SQL scripts are found in scripts/.</w:t>
      </w:r>
    </w:p>
    <w:p>
      <w:r>
        <w:rPr>
          <w:sz w:val="10"/>
          <w:szCs w:val="10"/>
        </w:rPr>
        <w:t xml:space="preserve"/>
      </w:r>
    </w:p>
    <w:p>
      <w:pPr>
        <w:pStyle w:val="Heading3"/>
        <w:spacing w:after="80" w:before="180"/>
      </w:pPr>
      <w:r>
        <w:rPr>
          <w:rFonts w:ascii="Arial" w:cs="Arial" w:eastAsia="Arial" w:hAnsi="Arial"/>
          <w:b/>
          <w:bCs/>
          <w:color w:val="3D4660"/>
          <w:sz w:val="22"/>
          <w:szCs w:val="22"/>
        </w:rPr>
        <w:t xml:space="preserve">Background Processing — Celery + Redis</w:t>
      </w:r>
    </w:p>
    <w:p>
      <w:pPr>
        <w:spacing w:after="80" w:before="80"/>
      </w:pPr>
      <w:r>
        <w:rPr>
          <w:rFonts w:ascii="Arial" w:cs="Arial" w:eastAsia="Arial" w:hAnsi="Arial"/>
          <w:color w:val="1A1A2E"/>
          <w:sz w:val="22"/>
          <w:szCs w:val="22"/>
        </w:rPr>
        <w:t xml:space="preserve">Celery workers handle asynchronous tasks including RLHF feedback batch jobs, weekly study plan regeneration, parent report generation, and email dispatch via SendGrid. Redis 7 serves as both the Celery message broker and application cache, configured with a 256MB memory cap and allkeys-LRU eviction.</w:t>
      </w:r>
    </w:p>
    <w:p>
      <w:r>
        <w:rPr>
          <w:sz w:val="10"/>
          <w:szCs w:val="10"/>
        </w:rPr>
        <w:t xml:space="preserve"/>
      </w:r>
    </w:p>
    <w:p>
      <w:pPr>
        <w:pStyle w:val="Heading2"/>
        <w:spacing w:after="120" w:before="240"/>
      </w:pPr>
      <w:r>
        <w:rPr>
          <w:rFonts w:ascii="Arial" w:cs="Arial" w:eastAsia="Arial" w:hAnsi="Arial"/>
          <w:b/>
          <w:bCs/>
          <w:color w:val="1A56A0"/>
          <w:sz w:val="26"/>
          <w:szCs w:val="26"/>
        </w:rPr>
        <w:t xml:space="preserve">3.3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2400"/>
        <w:gridCol w:w="2400"/>
      </w:tblGrid>
      <w:tr>
        <w:trPr>
          <w:tblHeader/>
        </w:trPr>
        <w:tc>
          <w:tcPr>
            <w:tcW w:type="dxa" w:w="22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Component</w:t>
            </w:r>
          </w:p>
        </w:tc>
        <w:tc>
          <w:tcPr>
            <w:tcW w:type="dxa" w:w="236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Technology</w:t>
            </w:r>
          </w:p>
        </w:tc>
        <w:tc>
          <w:tcPr>
            <w:tcW w:type="dxa" w:w="24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Local Port</w:t>
            </w:r>
          </w:p>
        </w:tc>
        <w:tc>
          <w:tcPr>
            <w:tcW w:type="dxa" w:w="24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State</w:t>
            </w:r>
          </w:p>
        </w:tc>
      </w:tr>
      <w:tr>
        <w:tc>
          <w:tcPr>
            <w:tcW w:type="dxa" w:w="22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Frontend</w:t>
            </w:r>
          </w:p>
        </w:tc>
        <w:tc>
          <w:tcPr>
            <w:tcW w:type="dxa" w:w="2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Next.js 14</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3000 / 3002</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Running (dev)</w:t>
            </w:r>
          </w:p>
        </w:tc>
      </w:tr>
      <w:tr>
        <w:tc>
          <w:tcPr>
            <w:tcW w:type="dxa" w:w="22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API</w:t>
            </w:r>
          </w:p>
        </w:tc>
        <w:tc>
          <w:tcPr>
            <w:tcW w:type="dxa" w:w="2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FastAPI / Uvicorn</w:t>
            </w:r>
          </w:p>
        </w:tc>
        <w:tc>
          <w:tcPr>
            <w:tcW w:type="dxa" w:w="2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8000</w:t>
            </w:r>
          </w:p>
        </w:tc>
        <w:tc>
          <w:tcPr>
            <w:tcW w:type="dxa" w:w="2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Running (dev)</w:t>
            </w:r>
          </w:p>
        </w:tc>
      </w:tr>
      <w:tr>
        <w:tc>
          <w:tcPr>
            <w:tcW w:type="dxa" w:w="22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PostgreSQL</w:t>
            </w:r>
          </w:p>
        </w:tc>
        <w:tc>
          <w:tcPr>
            <w:tcW w:type="dxa" w:w="2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postgres:16-alpine</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5432</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Running</w:t>
            </w:r>
          </w:p>
        </w:tc>
      </w:tr>
      <w:tr>
        <w:tc>
          <w:tcPr>
            <w:tcW w:type="dxa" w:w="22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Redis</w:t>
            </w:r>
          </w:p>
        </w:tc>
        <w:tc>
          <w:tcPr>
            <w:tcW w:type="dxa" w:w="2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redis:7-alpine</w:t>
            </w:r>
          </w:p>
        </w:tc>
        <w:tc>
          <w:tcPr>
            <w:tcW w:type="dxa" w:w="2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6379</w:t>
            </w:r>
          </w:p>
        </w:tc>
        <w:tc>
          <w:tcPr>
            <w:tcW w:type="dxa" w:w="2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Running</w:t>
            </w:r>
          </w:p>
        </w:tc>
      </w:tr>
      <w:tr>
        <w:tc>
          <w:tcPr>
            <w:tcW w:type="dxa" w:w="22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Celery Worker</w:t>
            </w:r>
          </w:p>
        </w:tc>
        <w:tc>
          <w:tcPr>
            <w:tcW w:type="dxa" w:w="2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Celery 5.4</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Running</w:t>
            </w:r>
          </w:p>
        </w:tc>
      </w:tr>
      <w:tr>
        <w:tc>
          <w:tcPr>
            <w:tcW w:type="dxa" w:w="22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Celery Beat</w:t>
            </w:r>
          </w:p>
        </w:tc>
        <w:tc>
          <w:tcPr>
            <w:tcW w:type="dxa" w:w="2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Celery Beat</w:t>
            </w:r>
          </w:p>
        </w:tc>
        <w:tc>
          <w:tcPr>
            <w:tcW w:type="dxa" w:w="2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2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Running</w:t>
            </w:r>
          </w:p>
        </w:tc>
      </w:tr>
      <w:tr>
        <w:tc>
          <w:tcPr>
            <w:tcW w:type="dxa" w:w="22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Prometheus</w:t>
            </w:r>
          </w:p>
        </w:tc>
        <w:tc>
          <w:tcPr>
            <w:tcW w:type="dxa" w:w="2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prom/prometheus</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9090</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Running</w:t>
            </w:r>
          </w:p>
        </w:tc>
      </w:tr>
      <w:tr>
        <w:tc>
          <w:tcPr>
            <w:tcW w:type="dxa" w:w="22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Grafana</w:t>
            </w:r>
          </w:p>
        </w:tc>
        <w:tc>
          <w:tcPr>
            <w:tcW w:type="dxa" w:w="2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grafana 10.4.2</w:t>
            </w:r>
          </w:p>
        </w:tc>
        <w:tc>
          <w:tcPr>
            <w:tcW w:type="dxa" w:w="2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3001</w:t>
            </w:r>
          </w:p>
        </w:tc>
        <w:tc>
          <w:tcPr>
            <w:tcW w:type="dxa" w:w="2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Running</w:t>
            </w:r>
          </w:p>
        </w:tc>
      </w:tr>
      <w:tr>
        <w:tc>
          <w:tcPr>
            <w:tcW w:type="dxa" w:w="22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Flower</w:t>
            </w:r>
          </w:p>
        </w:tc>
        <w:tc>
          <w:tcPr>
            <w:tcW w:type="dxa" w:w="2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Celery Flower 2.0</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5555</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Running</w:t>
            </w:r>
          </w:p>
        </w:tc>
      </w:tr>
      <w:tr>
        <w:tc>
          <w:tcPr>
            <w:tcW w:type="dxa" w:w="22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Kubernetes (k8s/)</w:t>
            </w:r>
          </w:p>
        </w:tc>
        <w:tc>
          <w:tcPr>
            <w:tcW w:type="dxa" w:w="2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K8s manifests</w:t>
            </w:r>
          </w:p>
        </w:tc>
        <w:tc>
          <w:tcPr>
            <w:tcW w:type="dxa" w:w="2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24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WIP / Not deployed</w:t>
            </w:r>
          </w:p>
        </w:tc>
      </w:tr>
      <w:tr>
        <w:tc>
          <w:tcPr>
            <w:tcW w:type="dxa" w:w="22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Azure Bicep (bicep/)</w:t>
            </w:r>
          </w:p>
        </w:tc>
        <w:tc>
          <w:tcPr>
            <w:tcW w:type="dxa" w:w="2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IaC experiment</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24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WIP / Not deployed</w:t>
            </w:r>
          </w:p>
        </w:tc>
      </w:tr>
    </w:tbl>
    <w:p>
      <w:r>
        <w:rPr>
          <w:sz w:val="10"/>
          <w:szCs w:val="10"/>
        </w:rPr>
        <w:t xml:space="preserve"/>
      </w:r>
    </w:p>
    <w:p>
      <w:r>
        <w:br w:type="page"/>
      </w:r>
    </w:p>
    <w:p>
      <w:pPr>
        <w:pStyle w:val="Heading1"/>
        <w:pBdr>
          <w:bottom w:val="single" w:color="1A56A0" w:sz="8" w:space="4"/>
        </w:pBdr>
        <w:spacing w:after="160" w:before="320"/>
      </w:pPr>
      <w:r>
        <w:rPr>
          <w:rFonts w:ascii="Arial" w:cs="Arial" w:eastAsia="Arial" w:hAnsi="Arial"/>
          <w:b/>
          <w:bCs/>
          <w:color w:val="0D2B5E"/>
          <w:sz w:val="32"/>
          <w:szCs w:val="32"/>
        </w:rPr>
        <w:t xml:space="preserve">4. Technology Stack</w:t>
      </w:r>
    </w:p>
    <w:p>
      <w:pPr>
        <w:pStyle w:val="Heading2"/>
        <w:spacing w:after="120" w:before="240"/>
      </w:pPr>
      <w:r>
        <w:rPr>
          <w:rFonts w:ascii="Arial" w:cs="Arial" w:eastAsia="Arial" w:hAnsi="Arial"/>
          <w:b/>
          <w:bCs/>
          <w:color w:val="1A56A0"/>
          <w:sz w:val="26"/>
          <w:szCs w:val="26"/>
        </w:rPr>
        <w:t xml:space="preserve">4.1 Backend Dependencies (Python 3.11)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Package</w:t>
            </w:r>
          </w:p>
        </w:tc>
        <w:tc>
          <w:tcPr>
            <w:tcW w:type="dxa" w:w="18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Version</w:t>
            </w:r>
          </w:p>
        </w:tc>
        <w:tc>
          <w:tcPr>
            <w:tcW w:type="dxa" w:w="476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FastAPI</w:t>
            </w:r>
          </w:p>
        </w:tc>
        <w:tc>
          <w:tcPr>
            <w:tcW w:type="dxa" w:w="1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0.111.0</w:t>
            </w:r>
          </w:p>
        </w:tc>
        <w:tc>
          <w:tcPr>
            <w:tcW w:type="dxa" w:w="4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Web framework</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Uvicorn</w:t>
            </w:r>
          </w:p>
        </w:tc>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0.29.0</w:t>
            </w:r>
          </w:p>
        </w:tc>
        <w:tc>
          <w:tcPr>
            <w:tcW w:type="dxa" w:w="4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ASGI server</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SQLAlchemy</w:t>
            </w:r>
          </w:p>
        </w:tc>
        <w:tc>
          <w:tcPr>
            <w:tcW w:type="dxa" w:w="1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2.0.30</w:t>
            </w:r>
          </w:p>
        </w:tc>
        <w:tc>
          <w:tcPr>
            <w:tcW w:type="dxa" w:w="4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ORM / async DB access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Alembic</w:t>
            </w:r>
          </w:p>
        </w:tc>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1.13.1</w:t>
            </w:r>
          </w:p>
        </w:tc>
        <w:tc>
          <w:tcPr>
            <w:tcW w:type="dxa" w:w="4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Database migrations</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asyncpg</w:t>
            </w:r>
          </w:p>
        </w:tc>
        <w:tc>
          <w:tcPr>
            <w:tcW w:type="dxa" w:w="1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0.29.0</w:t>
            </w:r>
          </w:p>
        </w:tc>
        <w:tc>
          <w:tcPr>
            <w:tcW w:type="dxa" w:w="4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Async PostgreSQL driver</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Anthropic SDK</w:t>
            </w:r>
          </w:p>
        </w:tc>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0.28.0</w:t>
            </w:r>
          </w:p>
        </w:tc>
        <w:tc>
          <w:tcPr>
            <w:tcW w:type="dxa" w:w="4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Claude (fallback LLM)</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Groq SDK</w:t>
            </w:r>
          </w:p>
        </w:tc>
        <w:tc>
          <w:tcPr>
            <w:tcW w:type="dxa" w:w="1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0.9.0</w:t>
            </w:r>
          </w:p>
        </w:tc>
        <w:tc>
          <w:tcPr>
            <w:tcW w:type="dxa" w:w="4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Primary LLM inference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scikit-learn / scipy</w:t>
            </w:r>
          </w:p>
        </w:tc>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1.5.0 / 1.13.1</w:t>
            </w:r>
          </w:p>
        </w:tc>
        <w:tc>
          <w:tcPr>
            <w:tcW w:type="dxa" w:w="4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ML / IRT adaptive engine</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Celery</w:t>
            </w:r>
          </w:p>
        </w:tc>
        <w:tc>
          <w:tcPr>
            <w:tcW w:type="dxa" w:w="1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5.4.0</w:t>
            </w:r>
          </w:p>
        </w:tc>
        <w:tc>
          <w:tcPr>
            <w:tcW w:type="dxa" w:w="4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Async task processing</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Redis</w:t>
            </w:r>
          </w:p>
        </w:tc>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5.0.4</w:t>
            </w:r>
          </w:p>
        </w:tc>
        <w:tc>
          <w:tcPr>
            <w:tcW w:type="dxa" w:w="4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Cache + Celery broker</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Pydantic v2</w:t>
            </w:r>
          </w:p>
        </w:tc>
        <w:tc>
          <w:tcPr>
            <w:tcW w:type="dxa" w:w="1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2.7.1</w:t>
            </w:r>
          </w:p>
        </w:tc>
        <w:tc>
          <w:tcPr>
            <w:tcW w:type="dxa" w:w="4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Validation + settings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python-jose</w:t>
            </w:r>
          </w:p>
        </w:tc>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3.3.0</w:t>
            </w:r>
          </w:p>
        </w:tc>
        <w:tc>
          <w:tcPr>
            <w:tcW w:type="dxa" w:w="4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JWT auth</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Sentry SDK</w:t>
            </w:r>
          </w:p>
        </w:tc>
        <w:tc>
          <w:tcPr>
            <w:tcW w:type="dxa" w:w="1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2.3.1</w:t>
            </w:r>
          </w:p>
        </w:tc>
        <w:tc>
          <w:tcPr>
            <w:tcW w:type="dxa" w:w="4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Error tracking</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Prometheus Instrumentator</w:t>
            </w:r>
          </w:p>
        </w:tc>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6.1.0</w:t>
            </w:r>
          </w:p>
        </w:tc>
        <w:tc>
          <w:tcPr>
            <w:tcW w:type="dxa" w:w="4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Metrics exposure</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boto3</w:t>
            </w:r>
          </w:p>
        </w:tc>
        <w:tc>
          <w:tcPr>
            <w:tcW w:type="dxa" w:w="1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1.34.110</w:t>
            </w:r>
          </w:p>
        </w:tc>
        <w:tc>
          <w:tcPr>
            <w:tcW w:type="dxa" w:w="4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Cloudflare R2 / S3 storage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bleach + phonenumbers</w:t>
            </w:r>
          </w:p>
        </w:tc>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6.1.0 / 8.13.37</w:t>
            </w:r>
          </w:p>
        </w:tc>
        <w:tc>
          <w:tcPr>
            <w:tcW w:type="dxa" w:w="4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PII scrubbing / POPIA</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Supabase SDK</w:t>
            </w:r>
          </w:p>
        </w:tc>
        <w:tc>
          <w:tcPr>
            <w:tcW w:type="dxa" w:w="1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2.4.6</w:t>
            </w:r>
          </w:p>
        </w:tc>
        <w:tc>
          <w:tcPr>
            <w:tcW w:type="dxa" w:w="4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Optional auth / realtime</w:t>
            </w:r>
          </w:p>
        </w:tc>
      </w:tr>
    </w:tbl>
    <w:p>
      <w:r>
        <w:rPr>
          <w:sz w:val="10"/>
          <w:szCs w:val="10"/>
        </w:rPr>
        <w:t xml:space="preserve"/>
      </w:r>
    </w:p>
    <w:p>
      <w:pPr>
        <w:pStyle w:val="Heading2"/>
        <w:spacing w:after="120" w:before="240"/>
      </w:pPr>
      <w:r>
        <w:rPr>
          <w:rFonts w:ascii="Arial" w:cs="Arial" w:eastAsia="Arial" w:hAnsi="Arial"/>
          <w:b/>
          <w:bCs/>
          <w:color w:val="1A56A0"/>
          <w:sz w:val="26"/>
          <w:szCs w:val="26"/>
        </w:rPr>
        <w:t xml:space="preserve">4.2 Frontend Stack</w:t>
      </w:r>
    </w:p>
    <w:p>
      <w:pPr>
        <w:pStyle w:val="ListParagraph"/>
        <w:numPr>
          <w:ilvl w:val="0"/>
          <w:numId w:val="2"/>
        </w:numPr>
        <w:spacing w:after="60" w:before="60"/>
      </w:pPr>
      <w:r>
        <w:rPr>
          <w:rFonts w:ascii="Arial" w:cs="Arial" w:eastAsia="Arial" w:hAnsi="Arial"/>
          <w:color w:val="1A1A2E"/>
          <w:sz w:val="22"/>
          <w:szCs w:val="22"/>
        </w:rPr>
        <w:t xml:space="preserve">Framework: Next.js 14 with App Router</w:t>
      </w:r>
    </w:p>
    <w:p>
      <w:pPr>
        <w:pStyle w:val="ListParagraph"/>
        <w:numPr>
          <w:ilvl w:val="0"/>
          <w:numId w:val="2"/>
        </w:numPr>
        <w:spacing w:after="60" w:before="60"/>
      </w:pPr>
      <w:r>
        <w:rPr>
          <w:rFonts w:ascii="Arial" w:cs="Arial" w:eastAsia="Arial" w:hAnsi="Arial"/>
          <w:color w:val="1A1A2E"/>
          <w:sz w:val="22"/>
          <w:szCs w:val="22"/>
        </w:rPr>
        <w:t xml:space="preserve">Language: JavaScript / TypeScript</w:t>
      </w:r>
    </w:p>
    <w:p>
      <w:pPr>
        <w:pStyle w:val="ListParagraph"/>
        <w:numPr>
          <w:ilvl w:val="0"/>
          <w:numId w:val="2"/>
        </w:numPr>
        <w:spacing w:after="60" w:before="60"/>
      </w:pPr>
      <w:r>
        <w:rPr>
          <w:rFonts w:ascii="Arial" w:cs="Arial" w:eastAsia="Arial" w:hAnsi="Arial"/>
          <w:color w:val="1A1A2E"/>
          <w:sz w:val="22"/>
          <w:szCs w:val="22"/>
        </w:rPr>
        <w:t xml:space="preserve">Styling: Tailwind CSS (inferred from component structure)</w:t>
      </w:r>
    </w:p>
    <w:p>
      <w:pPr>
        <w:pStyle w:val="ListParagraph"/>
        <w:numPr>
          <w:ilvl w:val="0"/>
          <w:numId w:val="2"/>
        </w:numPr>
        <w:spacing w:after="60" w:before="60"/>
      </w:pPr>
      <w:r>
        <w:rPr>
          <w:rFonts w:ascii="Arial" w:cs="Arial" w:eastAsia="Arial" w:hAnsi="Arial"/>
          <w:color w:val="1A1A2E"/>
          <w:sz w:val="22"/>
          <w:szCs w:val="22"/>
        </w:rPr>
        <w:t xml:space="preserve">API Integration: Production-grade service layer (src/lib/api/)</w:t>
      </w:r>
    </w:p>
    <w:p>
      <w:pPr>
        <w:pStyle w:val="ListParagraph"/>
        <w:numPr>
          <w:ilvl w:val="0"/>
          <w:numId w:val="2"/>
        </w:numPr>
        <w:spacing w:after="60" w:before="60"/>
      </w:pPr>
      <w:r>
        <w:rPr>
          <w:rFonts w:ascii="Arial" w:cs="Arial" w:eastAsia="Arial" w:hAnsi="Arial"/>
          <w:color w:val="1A1A2E"/>
          <w:sz w:val="22"/>
          <w:szCs w:val="22"/>
        </w:rPr>
        <w:t xml:space="preserve">Build tooling: npm, package.json, package-lock.json</w:t>
      </w:r>
    </w:p>
    <w:p>
      <w:r>
        <w:rPr>
          <w:sz w:val="10"/>
          <w:szCs w:val="10"/>
        </w:rPr>
        <w:t xml:space="preserve"/>
      </w:r>
    </w:p>
    <w:p>
      <w:pPr>
        <w:pStyle w:val="Heading2"/>
        <w:spacing w:after="120" w:before="240"/>
      </w:pPr>
      <w:r>
        <w:rPr>
          <w:rFonts w:ascii="Arial" w:cs="Arial" w:eastAsia="Arial" w:hAnsi="Arial"/>
          <w:b/>
          <w:bCs/>
          <w:color w:val="1A56A0"/>
          <w:sz w:val="26"/>
          <w:szCs w:val="26"/>
        </w:rPr>
        <w:t xml:space="preserve">4.3 Testing Stack</w:t>
      </w:r>
    </w:p>
    <w:p>
      <w:pPr>
        <w:pStyle w:val="ListParagraph"/>
        <w:numPr>
          <w:ilvl w:val="0"/>
          <w:numId w:val="2"/>
        </w:numPr>
        <w:spacing w:after="60" w:before="60"/>
      </w:pPr>
      <w:r>
        <w:rPr>
          <w:rFonts w:ascii="Arial" w:cs="Arial" w:eastAsia="Arial" w:hAnsi="Arial"/>
          <w:color w:val="1A1A2E"/>
          <w:sz w:val="22"/>
          <w:szCs w:val="22"/>
        </w:rPr>
        <w:t xml:space="preserve">pytest 8.2.1 — core test runner</w:t>
      </w:r>
    </w:p>
    <w:p>
      <w:pPr>
        <w:pStyle w:val="ListParagraph"/>
        <w:numPr>
          <w:ilvl w:val="0"/>
          <w:numId w:val="2"/>
        </w:numPr>
        <w:spacing w:after="60" w:before="60"/>
      </w:pPr>
      <w:r>
        <w:rPr>
          <w:rFonts w:ascii="Arial" w:cs="Arial" w:eastAsia="Arial" w:hAnsi="Arial"/>
          <w:color w:val="1A1A2E"/>
          <w:sz w:val="22"/>
          <w:szCs w:val="22"/>
        </w:rPr>
        <w:t xml:space="preserve">pytest-asyncio 0.23.7 — async test support</w:t>
      </w:r>
    </w:p>
    <w:p>
      <w:pPr>
        <w:pStyle w:val="ListParagraph"/>
        <w:numPr>
          <w:ilvl w:val="0"/>
          <w:numId w:val="2"/>
        </w:numPr>
        <w:spacing w:after="60" w:before="60"/>
      </w:pPr>
      <w:r>
        <w:rPr>
          <w:rFonts w:ascii="Arial" w:cs="Arial" w:eastAsia="Arial" w:hAnsi="Arial"/>
          <w:color w:val="1A1A2E"/>
          <w:sz w:val="22"/>
          <w:szCs w:val="22"/>
        </w:rPr>
        <w:t xml:space="preserve">pytest-cov 5.0.0 — coverage reporting</w:t>
      </w:r>
    </w:p>
    <w:p>
      <w:pPr>
        <w:pStyle w:val="ListParagraph"/>
        <w:numPr>
          <w:ilvl w:val="0"/>
          <w:numId w:val="2"/>
        </w:numPr>
        <w:spacing w:after="60" w:before="60"/>
      </w:pPr>
      <w:r>
        <w:rPr>
          <w:rFonts w:ascii="Arial" w:cs="Arial" w:eastAsia="Arial" w:hAnsi="Arial"/>
          <w:color w:val="1A1A2E"/>
          <w:sz w:val="22"/>
          <w:szCs w:val="22"/>
        </w:rPr>
        <w:t xml:space="preserve">pytest-mock 3.14.0 — mocking</w:t>
      </w:r>
    </w:p>
    <w:p>
      <w:pPr>
        <w:pStyle w:val="ListParagraph"/>
        <w:numPr>
          <w:ilvl w:val="0"/>
          <w:numId w:val="2"/>
        </w:numPr>
        <w:spacing w:after="60" w:before="60"/>
      </w:pPr>
      <w:r>
        <w:rPr>
          <w:rFonts w:ascii="Arial" w:cs="Arial" w:eastAsia="Arial" w:hAnsi="Arial"/>
          <w:color w:val="1A1A2E"/>
          <w:sz w:val="22"/>
          <w:szCs w:val="22"/>
        </w:rPr>
        <w:t xml:space="preserve">factory-boy 3.3.0 — test data factories</w:t>
      </w:r>
    </w:p>
    <w:p>
      <w:pPr>
        <w:pStyle w:val="ListParagraph"/>
        <w:numPr>
          <w:ilvl w:val="0"/>
          <w:numId w:val="2"/>
        </w:numPr>
        <w:spacing w:after="60" w:before="60"/>
      </w:pPr>
      <w:r>
        <w:rPr>
          <w:rFonts w:ascii="Arial" w:cs="Arial" w:eastAsia="Arial" w:hAnsi="Arial"/>
          <w:color w:val="1A1A2E"/>
          <w:sz w:val="22"/>
          <w:szCs w:val="22"/>
        </w:rPr>
        <w:t xml:space="preserve">faker 25.2.0 — synthetic test data</w:t>
      </w:r>
    </w:p>
    <w:p>
      <w:r>
        <w:rPr>
          <w:sz w:val="10"/>
          <w:szCs w:val="10"/>
        </w:rPr>
        <w:t xml:space="preserve"/>
      </w:r>
    </w:p>
    <w:p>
      <w:r>
        <w:br w:type="page"/>
      </w:r>
    </w:p>
    <w:p>
      <w:pPr>
        <w:pStyle w:val="Heading1"/>
        <w:pBdr>
          <w:bottom w:val="single" w:color="1A56A0" w:sz="8" w:space="4"/>
        </w:pBdr>
        <w:spacing w:after="160" w:before="320"/>
      </w:pPr>
      <w:r>
        <w:rPr>
          <w:rFonts w:ascii="Arial" w:cs="Arial" w:eastAsia="Arial" w:hAnsi="Arial"/>
          <w:b/>
          <w:bCs/>
          <w:color w:val="0D2B5E"/>
          <w:sz w:val="32"/>
          <w:szCs w:val="32"/>
        </w:rPr>
        <w:t xml:space="preserve">5. Feature Implementation Status</w:t>
      </w:r>
    </w:p>
    <w:p>
      <w:pPr>
        <w:pStyle w:val="Heading2"/>
        <w:spacing w:after="120" w:before="240"/>
      </w:pPr>
      <w:r>
        <w:rPr>
          <w:rFonts w:ascii="Arial" w:cs="Arial" w:eastAsia="Arial" w:hAnsi="Arial"/>
          <w:b/>
          <w:bCs/>
          <w:color w:val="1A56A0"/>
          <w:sz w:val="26"/>
          <w:szCs w:val="26"/>
        </w:rPr>
        <w:t xml:space="preserve">5.1 Core Learning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800"/>
        <w:gridCol w:w="1800"/>
      </w:tblGrid>
      <w:tr>
        <w:trPr>
          <w:tblHeader/>
        </w:trPr>
        <w:tc>
          <w:tcPr>
            <w:tcW w:type="dxa" w:w="376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Feature</w:t>
            </w:r>
          </w:p>
        </w:tc>
        <w:tc>
          <w:tcPr>
            <w:tcW w:type="dxa" w:w="38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c>
          <w:tcPr>
            <w:tcW w:type="dxa" w:w="18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Adaptive Diagnostic Engine</w:t>
            </w:r>
          </w:p>
        </w:tc>
        <w:tc>
          <w:tcPr>
            <w:tcW w:type="dxa" w:w="3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IRT-based assessments to identify knowledge gaps per grade level</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 Lesson Generation</w:t>
            </w:r>
          </w:p>
        </w:tc>
        <w:tc>
          <w:tcPr>
            <w:tcW w:type="dxa" w:w="3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Groq/Anthropic powered lessons with SA cultural context</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Dynamic Study Plans</w:t>
            </w:r>
          </w:p>
        </w:tc>
        <w:tc>
          <w:tcPr>
            <w:tcW w:type="dxa" w:w="3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CAPS-aligned weekly schedules prioritising foundation gaps</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Gamification (R–3)</w:t>
            </w:r>
          </w:p>
        </w:tc>
        <w:tc>
          <w:tcPr>
            <w:tcW w:type="dxa" w:w="3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XP, badges, streaks for younger learners</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Gamification (4–7)</w:t>
            </w:r>
          </w:p>
        </w:tc>
        <w:tc>
          <w:tcPr>
            <w:tcW w:type="dxa" w:w="3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Discovery-based engagement for older learners</w:t>
            </w:r>
          </w:p>
        </w:tc>
        <w:tc>
          <w:tcPr>
            <w:tcW w:type="dxa" w:w="16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vAlign w:val="center"/>
          </w:tcPr>
          <w:p>
            <w:pPr>
              <w:jc w:val="center"/>
            </w:pPr>
            <w:r>
              <w:rPr>
                <w:rFonts w:ascii="Arial" w:cs="Arial" w:eastAsia="Arial" w:hAnsi="Arial"/>
                <w:b/>
                <w:bCs/>
                <w:color w:val="3D4660"/>
                <w:sz w:val="18"/>
                <w:szCs w:val="18"/>
              </w:rPr>
              <w:t xml:space="preserve">Planned</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Parent Portal</w:t>
            </w:r>
          </w:p>
        </w:tc>
        <w:tc>
          <w:tcPr>
            <w:tcW w:type="dxa" w:w="3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AI-generated progress reports and guardian visibility</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Progress Tracking</w:t>
            </w:r>
          </w:p>
        </w:tc>
        <w:tc>
          <w:tcPr>
            <w:tcW w:type="dxa" w:w="3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Per-learner performance history and gap analytics</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bl>
    <w:p>
      <w:r>
        <w:rPr>
          <w:sz w:val="10"/>
          <w:szCs w:val="10"/>
        </w:rPr>
        <w:t xml:space="preserve"/>
      </w:r>
    </w:p>
    <w:p>
      <w:pPr>
        <w:pStyle w:val="Heading2"/>
        <w:spacing w:after="120" w:before="240"/>
      </w:pPr>
      <w:r>
        <w:rPr>
          <w:rFonts w:ascii="Arial" w:cs="Arial" w:eastAsia="Arial" w:hAnsi="Arial"/>
          <w:b/>
          <w:bCs/>
          <w:color w:val="1A56A0"/>
          <w:sz w:val="26"/>
          <w:szCs w:val="26"/>
        </w:rPr>
        <w:t xml:space="preserve">5.2 Platform &amp; Infrastructure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800"/>
        <w:gridCol w:w="1800"/>
      </w:tblGrid>
      <w:tr>
        <w:trPr>
          <w:tblHeader/>
        </w:trPr>
        <w:tc>
          <w:tcPr>
            <w:tcW w:type="dxa" w:w="376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Feature</w:t>
            </w:r>
          </w:p>
        </w:tc>
        <w:tc>
          <w:tcPr>
            <w:tcW w:type="dxa" w:w="38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c>
          <w:tcPr>
            <w:tcW w:type="dxa" w:w="18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JWT Authentication</w:t>
            </w:r>
          </w:p>
        </w:tc>
        <w:tc>
          <w:tcPr>
            <w:tcW w:type="dxa" w:w="3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Token-based auth with encryption</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Rate Limiting</w:t>
            </w:r>
          </w:p>
        </w:tc>
        <w:tc>
          <w:tcPr>
            <w:tcW w:type="dxa" w:w="3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slowapi-based per-endpoint rate limiting</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Background Task Queue</w:t>
            </w:r>
          </w:p>
        </w:tc>
        <w:tc>
          <w:tcPr>
            <w:tcW w:type="dxa" w:w="3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Celery worker + beat for async jobs</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Metrics &amp; Dashboards</w:t>
            </w:r>
          </w:p>
        </w:tc>
        <w:tc>
          <w:tcPr>
            <w:tcW w:type="dxa" w:w="3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Prometheus + Grafana stack scaffolded</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Error Tracking (Sentry)</w:t>
            </w:r>
          </w:p>
        </w:tc>
        <w:tc>
          <w:tcPr>
            <w:tcW w:type="dxa" w:w="3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Sentry DSN configured</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Email Notifications</w:t>
            </w:r>
          </w:p>
        </w:tc>
        <w:tc>
          <w:tcPr>
            <w:tcW w:type="dxa" w:w="3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SendGrid + Jinja2 templates</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Object Storage</w:t>
            </w:r>
          </w:p>
        </w:tc>
        <w:tc>
          <w:tcPr>
            <w:tcW w:type="dxa" w:w="3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Cloudflare R2 via boto3</w:t>
            </w:r>
          </w:p>
        </w:tc>
        <w:tc>
          <w:tcPr>
            <w:tcW w:type="dxa" w:w="16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vAlign w:val="center"/>
          </w:tcPr>
          <w:p>
            <w:pPr>
              <w:jc w:val="center"/>
            </w:pPr>
            <w:r>
              <w:rPr>
                <w:rFonts w:ascii="Arial" w:cs="Arial" w:eastAsia="Arial" w:hAnsi="Arial"/>
                <w:b/>
                <w:bCs/>
                <w:color w:val="3D4660"/>
                <w:sz w:val="18"/>
                <w:szCs w:val="18"/>
              </w:rPr>
              <w:t xml:space="preserve">Planned</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CI/CD Automation</w:t>
            </w:r>
          </w:p>
        </w:tc>
        <w:tc>
          <w:tcPr>
            <w:tcW w:type="dxa" w:w="3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GitHub Actions; gates still evolving</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7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Kubernetes Deployment</w:t>
            </w:r>
          </w:p>
        </w:tc>
        <w:tc>
          <w:tcPr>
            <w:tcW w:type="dxa" w:w="3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k8s/ manifests present, not deployed</w:t>
            </w:r>
          </w:p>
        </w:tc>
        <w:tc>
          <w:tcPr>
            <w:tcW w:type="dxa" w:w="1600"/>
            <w:tcBorders>
              <w:top w:val="single" w:color="D0D5DE" w:sz="1"/>
              <w:left w:val="single" w:color="D0D5DE" w:sz="1"/>
              <w:bottom w:val="single" w:color="D0D5DE" w:sz="1"/>
              <w:right w:val="single" w:color="D0D5DE" w:sz="1"/>
            </w:tcBorders>
            <w:shd w:fill="FADADD"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Not Started</w:t>
            </w:r>
          </w:p>
        </w:tc>
      </w:tr>
      <w:tr>
        <w:tc>
          <w:tcPr>
            <w:tcW w:type="dxa" w:w="37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Azure Bicep IaC</w:t>
            </w:r>
          </w:p>
        </w:tc>
        <w:tc>
          <w:tcPr>
            <w:tcW w:type="dxa" w:w="3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bicep/ directory, experimental</w:t>
            </w:r>
          </w:p>
        </w:tc>
        <w:tc>
          <w:tcPr>
            <w:tcW w:type="dxa" w:w="1600"/>
            <w:tcBorders>
              <w:top w:val="single" w:color="D0D5DE" w:sz="1"/>
              <w:left w:val="single" w:color="D0D5DE" w:sz="1"/>
              <w:bottom w:val="single" w:color="D0D5DE" w:sz="1"/>
              <w:right w:val="single" w:color="D0D5DE" w:sz="1"/>
            </w:tcBorders>
            <w:shd w:fill="FADADD"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Not Started</w:t>
            </w:r>
          </w:p>
        </w:tc>
      </w:tr>
    </w:tbl>
    <w:p>
      <w:r>
        <w:rPr>
          <w:sz w:val="10"/>
          <w:szCs w:val="10"/>
        </w:rPr>
        <w:t xml:space="preserve"/>
      </w:r>
    </w:p>
    <w:p>
      <w:r>
        <w:br w:type="page"/>
      </w:r>
    </w:p>
    <w:p>
      <w:pPr>
        <w:pStyle w:val="Heading1"/>
        <w:pBdr>
          <w:bottom w:val="single" w:color="1A56A0" w:sz="8" w:space="4"/>
        </w:pBdr>
        <w:spacing w:after="160" w:before="320"/>
      </w:pPr>
      <w:r>
        <w:rPr>
          <w:rFonts w:ascii="Arial" w:cs="Arial" w:eastAsia="Arial" w:hAnsi="Arial"/>
          <w:b/>
          <w:bCs/>
          <w:color w:val="0D2B5E"/>
          <w:sz w:val="32"/>
          <w:szCs w:val="32"/>
        </w:rPr>
        <w:t xml:space="preserve">6. POPIA Compliance &amp; Privacy Design</w:t>
      </w:r>
    </w:p>
    <w:p>
      <w:pPr>
        <w:spacing w:after="80" w:before="80"/>
      </w:pPr>
      <w:r>
        <w:rPr>
          <w:rFonts w:ascii="Arial" w:cs="Arial" w:eastAsia="Arial" w:hAnsi="Arial"/>
          <w:color w:val="1A1A2E"/>
          <w:sz w:val="22"/>
          <w:szCs w:val="22"/>
        </w:rPr>
        <w:t xml:space="preserve">EduBoost SA is being built with a POPIA-aligned design philosophy, recognising the sensitivity of data relating to minors in an educational context. Below is the current state of each compliance dimension.</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POPIA Dimension</w:t>
            </w:r>
          </w:p>
        </w:tc>
        <w:tc>
          <w:tcPr>
            <w:tcW w:type="dxa" w:w="456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Current Implementation</w:t>
            </w:r>
          </w:p>
        </w:tc>
        <w:tc>
          <w:tcPr>
            <w:tcW w:type="dxa" w:w="20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Minimisation</w:t>
            </w:r>
          </w:p>
        </w:tc>
        <w:tc>
          <w:tcPr>
            <w:tcW w:type="dxa" w:w="45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Design goal: collect minimum required for learning workflows. Not yet verified end-to-end.</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Pseudonymisation</w:t>
            </w:r>
          </w:p>
        </w:tc>
        <w:tc>
          <w:tcPr>
            <w:tcW w:type="dxa" w:w="45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Learner IDs kept pseudonymous in AI workflows; broader review pending.</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Parental Consent</w:t>
            </w:r>
          </w:p>
        </w:tc>
        <w:tc>
          <w:tcPr>
            <w:tcW w:type="dxa" w:w="45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Intended as backend-enforced control before learner data use. Not yet fully wired.</w:t>
            </w:r>
          </w:p>
        </w:tc>
        <w:tc>
          <w:tcPr>
            <w:tcW w:type="dxa" w:w="16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vAlign w:val="center"/>
          </w:tcPr>
          <w:p>
            <w:pPr>
              <w:jc w:val="center"/>
            </w:pPr>
            <w:r>
              <w:rPr>
                <w:rFonts w:ascii="Arial" w:cs="Arial" w:eastAsia="Arial" w:hAnsi="Arial"/>
                <w:b/>
                <w:bCs/>
                <w:color w:val="3D4660"/>
                <w:sz w:val="18"/>
                <w:szCs w:val="18"/>
              </w:rPr>
              <w:t xml:space="preserve">Planned</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Right to Erasure</w:t>
            </w:r>
          </w:p>
        </w:tc>
        <w:tc>
          <w:tcPr>
            <w:tcW w:type="dxa" w:w="45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Targeted as a tracked workflow; not yet verified across all data stores.</w:t>
            </w:r>
          </w:p>
        </w:tc>
        <w:tc>
          <w:tcPr>
            <w:tcW w:type="dxa" w:w="16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vAlign w:val="center"/>
          </w:tcPr>
          <w:p>
            <w:pPr>
              <w:jc w:val="center"/>
            </w:pPr>
            <w:r>
              <w:rPr>
                <w:rFonts w:ascii="Arial" w:cs="Arial" w:eastAsia="Arial" w:hAnsi="Arial"/>
                <w:b/>
                <w:bCs/>
                <w:color w:val="3D4660"/>
                <w:sz w:val="18"/>
                <w:szCs w:val="18"/>
              </w:rPr>
              <w:t xml:space="preserve">Planned</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LLM Firewall</w:t>
            </w:r>
          </w:p>
        </w:tc>
        <w:tc>
          <w:tcPr>
            <w:tcW w:type="dxa" w:w="45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Lesson generation routed through backend; broader provider governance still hardening.</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Audit Trail</w:t>
            </w:r>
          </w:p>
        </w:tc>
        <w:tc>
          <w:tcPr>
            <w:tcW w:type="dxa" w:w="45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fourth_estate.py and audit components exist; consent and access auditing incomplete.</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Partial</w:t>
            </w:r>
          </w:p>
        </w:tc>
      </w:tr>
      <w:tr>
        <w:tc>
          <w:tcPr>
            <w:tcW w:type="dxa" w:w="28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PII Scrubbing</w:t>
            </w:r>
          </w:p>
        </w:tc>
        <w:tc>
          <w:tcPr>
            <w:tcW w:type="dxa" w:w="45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bleach (HTML sanitisation) and phonenumbers (SA phone detection) integrated.</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Encryption at Rest</w:t>
            </w:r>
          </w:p>
        </w:tc>
        <w:tc>
          <w:tcPr>
            <w:tcW w:type="dxa" w:w="45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cryptography lib + ENCRYPTION_KEY + ENCRYPTION_SALT configured.</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bl>
    <w:p>
      <w:r>
        <w:rPr>
          <w:sz w:val="10"/>
          <w:szCs w:val="10"/>
        </w:rPr>
        <w:t xml:space="preserve"/>
      </w:r>
    </w:p>
    <w:p>
      <w:pPr>
        <w:spacing w:after="80" w:before="80"/>
      </w:pPr>
      <w:r>
        <w:rPr>
          <w:rFonts w:ascii="Arial" w:cs="Arial" w:eastAsia="Arial" w:hAnsi="Arial"/>
          <w:color w:val="1A1A2E"/>
          <w:sz w:val="22"/>
          <w:szCs w:val="22"/>
        </w:rPr>
        <w:t xml:space="preserve">Key risk: Several POPIA compliance dimensions are acknowledged design goals rather than verified end-to-end implementations. Before any production launch, a formal POPIA gap assessment should be conducted by a qualified privacy practitioner.</w:t>
      </w:r>
    </w:p>
    <w:p>
      <w:r>
        <w:rPr>
          <w:sz w:val="10"/>
          <w:szCs w:val="10"/>
        </w:rPr>
        <w:t xml:space="preserve"/>
      </w:r>
    </w:p>
    <w:p>
      <w:r>
        <w:br w:type="page"/>
      </w:r>
    </w:p>
    <w:p>
      <w:pPr>
        <w:pStyle w:val="Heading1"/>
        <w:pBdr>
          <w:bottom w:val="single" w:color="1A56A0" w:sz="8" w:space="4"/>
        </w:pBdr>
        <w:spacing w:after="160" w:before="320"/>
      </w:pPr>
      <w:r>
        <w:rPr>
          <w:rFonts w:ascii="Arial" w:cs="Arial" w:eastAsia="Arial" w:hAnsi="Arial"/>
          <w:b/>
          <w:bCs/>
          <w:color w:val="0D2B5E"/>
          <w:sz w:val="32"/>
          <w:szCs w:val="32"/>
        </w:rPr>
        <w:t xml:space="preserve">7. Testing &amp; Quality Assurance</w:t>
      </w:r>
    </w:p>
    <w:p>
      <w:pPr>
        <w:pStyle w:val="Heading2"/>
        <w:spacing w:after="120" w:before="240"/>
      </w:pPr>
      <w:r>
        <w:rPr>
          <w:rFonts w:ascii="Arial" w:cs="Arial" w:eastAsia="Arial" w:hAnsi="Arial"/>
          <w:b/>
          <w:bCs/>
          <w:color w:val="1A56A0"/>
          <w:sz w:val="26"/>
          <w:szCs w:val="26"/>
        </w:rPr>
        <w:t xml:space="preserve">7.1 Test Structure</w:t>
      </w:r>
    </w:p>
    <w:p>
      <w:pPr>
        <w:spacing w:after="80" w:before="80"/>
      </w:pPr>
      <w:r>
        <w:rPr>
          <w:rFonts w:ascii="Arial" w:cs="Arial" w:eastAsia="Arial" w:hAnsi="Arial"/>
          <w:color w:val="1A1A2E"/>
          <w:sz w:val="22"/>
          <w:szCs w:val="22"/>
        </w:rPr>
        <w:t xml:space="preserve">The tests/ directory contains both unit and integration test suites. The project uses pytest as the primary test runner, with async support via pytest-asyncio, mocking via pytest-mock, and synthetic data generation via factory-boy and faker.</w:t>
      </w:r>
    </w:p>
    <w:p>
      <w:r>
        <w:rPr>
          <w:sz w:val="10"/>
          <w:szCs w:val="10"/>
        </w:rPr>
        <w:t xml:space="preserve"/>
      </w:r>
    </w:p>
    <w:p>
      <w:pPr>
        <w:pStyle w:val="Heading2"/>
        <w:spacing w:after="120" w:before="240"/>
      </w:pPr>
      <w:r>
        <w:rPr>
          <w:rFonts w:ascii="Arial" w:cs="Arial" w:eastAsia="Arial" w:hAnsi="Arial"/>
          <w:b/>
          <w:bCs/>
          <w:color w:val="1A56A0"/>
          <w:sz w:val="26"/>
          <w:szCs w:val="26"/>
        </w:rPr>
        <w:t xml:space="preserve">7.2 Test Coverage Gaps (Known)</w:t>
      </w:r>
    </w:p>
    <w:p>
      <w:pPr>
        <w:pStyle w:val="ListParagraph"/>
        <w:numPr>
          <w:ilvl w:val="0"/>
          <w:numId w:val="2"/>
        </w:numPr>
        <w:spacing w:after="60" w:before="60"/>
      </w:pPr>
      <w:r>
        <w:rPr>
          <w:rFonts w:ascii="Arial" w:cs="Arial" w:eastAsia="Arial" w:hAnsi="Arial"/>
          <w:color w:val="1A1A2E"/>
          <w:sz w:val="22"/>
          <w:szCs w:val="22"/>
        </w:rPr>
        <w:t xml:space="preserve">End-to-end (E2E) test coverage is acknowledged as thin — a specific gap called out in the README</w:t>
      </w:r>
    </w:p>
    <w:p>
      <w:pPr>
        <w:pStyle w:val="ListParagraph"/>
        <w:numPr>
          <w:ilvl w:val="0"/>
          <w:numId w:val="2"/>
        </w:numPr>
        <w:spacing w:after="60" w:before="60"/>
      </w:pPr>
      <w:r>
        <w:rPr>
          <w:rFonts w:ascii="Arial" w:cs="Arial" w:eastAsia="Arial" w:hAnsi="Arial"/>
          <w:color w:val="1A1A2E"/>
          <w:sz w:val="22"/>
          <w:szCs w:val="22"/>
        </w:rPr>
        <w:t xml:space="preserve">Authentication, consent flows, and audit guarantees need deeper E2E validation</w:t>
      </w:r>
    </w:p>
    <w:p>
      <w:pPr>
        <w:pStyle w:val="ListParagraph"/>
        <w:numPr>
          <w:ilvl w:val="0"/>
          <w:numId w:val="2"/>
        </w:numPr>
        <w:spacing w:after="60" w:before="60"/>
      </w:pPr>
      <w:r>
        <w:rPr>
          <w:rFonts w:ascii="Arial" w:cs="Arial" w:eastAsia="Arial" w:hAnsi="Arial"/>
          <w:color w:val="1A1A2E"/>
          <w:sz w:val="22"/>
          <w:szCs w:val="22"/>
        </w:rPr>
        <w:t xml:space="preserve">Frontend E2E testing (visual/interaction) not yet in place</w:t>
      </w:r>
    </w:p>
    <w:p>
      <w:pPr>
        <w:pStyle w:val="ListParagraph"/>
        <w:numPr>
          <w:ilvl w:val="0"/>
          <w:numId w:val="2"/>
        </w:numPr>
        <w:spacing w:after="60" w:before="60"/>
      </w:pPr>
      <w:r>
        <w:rPr>
          <w:rFonts w:ascii="Arial" w:cs="Arial" w:eastAsia="Arial" w:hAnsi="Arial"/>
          <w:color w:val="1A1A2E"/>
          <w:sz w:val="22"/>
          <w:szCs w:val="22"/>
        </w:rPr>
        <w:t xml:space="preserve">AGENT_INSTRUCTIONS.md mandates a TDD loop (test-first), suggesting test-driven discipline is being actively instilled</w:t>
      </w:r>
    </w:p>
    <w:p>
      <w:r>
        <w:rPr>
          <w:sz w:val="10"/>
          <w:szCs w:val="10"/>
        </w:rPr>
        <w:t xml:space="preserve"/>
      </w:r>
    </w:p>
    <w:p>
      <w:pPr>
        <w:pStyle w:val="Heading2"/>
        <w:spacing w:after="120" w:before="240"/>
      </w:pPr>
      <w:r>
        <w:rPr>
          <w:rFonts w:ascii="Arial" w:cs="Arial" w:eastAsia="Arial" w:hAnsi="Arial"/>
          <w:b/>
          <w:bCs/>
          <w:color w:val="1A56A0"/>
          <w:sz w:val="26"/>
          <w:szCs w:val="26"/>
        </w:rPr>
        <w:t xml:space="preserve">7.3 Recent Test Fixes (CHANGELOG)</w:t>
      </w:r>
    </w:p>
    <w:p>
      <w:pPr>
        <w:spacing w:after="80" w:before="80"/>
      </w:pPr>
      <w:r>
        <w:rPr>
          <w:rFonts w:ascii="Arial" w:cs="Arial" w:eastAsia="Arial" w:hAnsi="Arial"/>
          <w:color w:val="1A1A2E"/>
          <w:sz w:val="22"/>
          <w:szCs w:val="22"/>
        </w:rPr>
        <w:t xml:space="preserve">The most recent CHANGELOG entries (Unreleased) address:</w:t>
      </w:r>
    </w:p>
    <w:p>
      <w:pPr>
        <w:pStyle w:val="ListParagraph"/>
        <w:numPr>
          <w:ilvl w:val="0"/>
          <w:numId w:val="2"/>
        </w:numPr>
        <w:spacing w:after="60" w:before="60"/>
      </w:pPr>
      <w:r>
        <w:rPr>
          <w:rFonts w:ascii="Arial" w:cs="Arial" w:eastAsia="Arial" w:hAnsi="Arial"/>
          <w:color w:val="1A1A2E"/>
          <w:sz w:val="22"/>
          <w:szCs w:val="22"/>
        </w:rPr>
        <w:t xml:space="preserve">Normalised knowledge_gaps input handling in StudyPlanService (strings vs. dicts)</w:t>
      </w:r>
    </w:p>
    <w:p>
      <w:pPr>
        <w:pStyle w:val="ListParagraph"/>
        <w:numPr>
          <w:ilvl w:val="0"/>
          <w:numId w:val="2"/>
        </w:numPr>
        <w:spacing w:after="60" w:before="60"/>
      </w:pPr>
      <w:r>
        <w:rPr>
          <w:rFonts w:ascii="Arial" w:cs="Arial" w:eastAsia="Arial" w:hAnsi="Arial"/>
          <w:color w:val="1A1A2E"/>
          <w:sz w:val="22"/>
          <w:szCs w:val="22"/>
        </w:rPr>
        <w:t xml:space="preserve">Backward-compatible report object in ParentPortalService.generate_parent_report</w:t>
      </w:r>
    </w:p>
    <w:p>
      <w:pPr>
        <w:pStyle w:val="ListParagraph"/>
        <w:numPr>
          <w:ilvl w:val="0"/>
          <w:numId w:val="2"/>
        </w:numPr>
        <w:spacing w:after="60" w:before="60"/>
      </w:pPr>
      <w:r>
        <w:rPr>
          <w:rFonts w:ascii="Arial" w:cs="Arial" w:eastAsia="Arial" w:hAnsi="Arial"/>
          <w:color w:val="1A1A2E"/>
          <w:sz w:val="22"/>
          <w:szCs w:val="22"/>
        </w:rPr>
        <w:t xml:space="preserve">Python version pinned to 3.11 across CI and local environment (.python-version + GitHub Actions)</w:t>
      </w:r>
    </w:p>
    <w:p>
      <w:pPr>
        <w:pStyle w:val="ListParagraph"/>
        <w:numPr>
          <w:ilvl w:val="0"/>
          <w:numId w:val="2"/>
        </w:numPr>
        <w:spacing w:after="60" w:before="60"/>
      </w:pPr>
      <w:r>
        <w:rPr>
          <w:rFonts w:ascii="Arial" w:cs="Arial" w:eastAsia="Arial" w:hAnsi="Arial"/>
          <w:color w:val="1A1A2E"/>
          <w:sz w:val="22"/>
          <w:szCs w:val="22"/>
        </w:rPr>
        <w:t xml:space="preserve">check_env.sh script added to verify local Python runtime</w:t>
      </w:r>
    </w:p>
    <w:p>
      <w:r>
        <w:rPr>
          <w:sz w:val="10"/>
          <w:szCs w:val="10"/>
        </w:rPr>
        <w:t xml:space="preserve"/>
      </w:r>
    </w:p>
    <w:p>
      <w:pPr>
        <w:pStyle w:val="Heading2"/>
        <w:spacing w:after="120" w:before="240"/>
      </w:pPr>
      <w:r>
        <w:rPr>
          <w:rFonts w:ascii="Arial" w:cs="Arial" w:eastAsia="Arial" w:hAnsi="Arial"/>
          <w:b/>
          <w:bCs/>
          <w:color w:val="1A56A0"/>
          <w:sz w:val="26"/>
          <w:szCs w:val="26"/>
        </w:rPr>
        <w:t xml:space="preserve">7.4 Running Tests</w:t>
      </w:r>
    </w:p>
    <w:p>
      <w:pPr>
        <w:spacing w:after="80" w:before="80"/>
      </w:pPr>
      <w:r>
        <w:rPr>
          <w:rFonts w:ascii="Arial" w:cs="Arial" w:eastAsia="Arial" w:hAnsi="Arial"/>
          <w:color w:val="1A1A2E"/>
          <w:sz w:val="22"/>
          <w:szCs w:val="22"/>
        </w:rPr>
        <w:t xml:space="preserve">Tests can be executed with the following commands:</w:t>
      </w:r>
    </w:p>
    <w:p>
      <w:pPr>
        <w:pStyle w:val="ListParagraph"/>
        <w:numPr>
          <w:ilvl w:val="0"/>
          <w:numId w:val="2"/>
        </w:numPr>
        <w:spacing w:after="60" w:before="60"/>
      </w:pPr>
      <w:r>
        <w:rPr>
          <w:rFonts w:ascii="Arial" w:cs="Arial" w:eastAsia="Arial" w:hAnsi="Arial"/>
          <w:color w:val="1A1A2E"/>
          <w:sz w:val="22"/>
          <w:szCs w:val="22"/>
        </w:rPr>
        <w:t xml:space="preserve">All tests: pytest</w:t>
      </w:r>
    </w:p>
    <w:p>
      <w:pPr>
        <w:pStyle w:val="ListParagraph"/>
        <w:numPr>
          <w:ilvl w:val="0"/>
          <w:numId w:val="2"/>
        </w:numPr>
        <w:spacing w:after="60" w:before="60"/>
      </w:pPr>
      <w:r>
        <w:rPr>
          <w:rFonts w:ascii="Arial" w:cs="Arial" w:eastAsia="Arial" w:hAnsi="Arial"/>
          <w:color w:val="1A1A2E"/>
          <w:sz w:val="22"/>
          <w:szCs w:val="22"/>
        </w:rPr>
        <w:t xml:space="preserve">Unit tests only: pytest tests/unit/ -v</w:t>
      </w:r>
    </w:p>
    <w:p>
      <w:pPr>
        <w:pStyle w:val="ListParagraph"/>
        <w:numPr>
          <w:ilvl w:val="0"/>
          <w:numId w:val="2"/>
        </w:numPr>
        <w:spacing w:after="60" w:before="60"/>
      </w:pPr>
      <w:r>
        <w:rPr>
          <w:rFonts w:ascii="Arial" w:cs="Arial" w:eastAsia="Arial" w:hAnsi="Arial"/>
          <w:color w:val="1A1A2E"/>
          <w:sz w:val="22"/>
          <w:szCs w:val="22"/>
        </w:rPr>
        <w:t xml:space="preserve">Integration tests: pytest tests/integration/ -v</w:t>
      </w:r>
    </w:p>
    <w:p>
      <w:pPr>
        <w:pStyle w:val="ListParagraph"/>
        <w:numPr>
          <w:ilvl w:val="0"/>
          <w:numId w:val="2"/>
        </w:numPr>
        <w:spacing w:after="60" w:before="60"/>
      </w:pPr>
      <w:r>
        <w:rPr>
          <w:rFonts w:ascii="Arial" w:cs="Arial" w:eastAsia="Arial" w:hAnsi="Arial"/>
          <w:color w:val="1A1A2E"/>
          <w:sz w:val="22"/>
          <w:szCs w:val="22"/>
        </w:rPr>
        <w:t xml:space="preserve">Coverage report: pytest --cov=app --cov-report=html</w:t>
      </w:r>
    </w:p>
    <w:p>
      <w:r>
        <w:rPr>
          <w:sz w:val="10"/>
          <w:szCs w:val="10"/>
        </w:rPr>
        <w:t xml:space="preserve"/>
      </w:r>
    </w:p>
    <w:p>
      <w:r>
        <w:br w:type="page"/>
      </w:r>
    </w:p>
    <w:p>
      <w:pPr>
        <w:pStyle w:val="Heading1"/>
        <w:pBdr>
          <w:bottom w:val="single" w:color="1A56A0" w:sz="8" w:space="4"/>
        </w:pBdr>
        <w:spacing w:after="160" w:before="320"/>
      </w:pPr>
      <w:r>
        <w:rPr>
          <w:rFonts w:ascii="Arial" w:cs="Arial" w:eastAsia="Arial" w:hAnsi="Arial"/>
          <w:b/>
          <w:bCs/>
          <w:color w:val="0D2B5E"/>
          <w:sz w:val="32"/>
          <w:szCs w:val="32"/>
        </w:rPr>
        <w:t xml:space="preserve">8. Known Gaps &amp; Risks</w:t>
      </w:r>
    </w:p>
    <w:p>
      <w:pPr>
        <w:pStyle w:val="Heading2"/>
        <w:spacing w:after="120" w:before="240"/>
      </w:pPr>
      <w:r>
        <w:rPr>
          <w:rFonts w:ascii="Arial" w:cs="Arial" w:eastAsia="Arial" w:hAnsi="Arial"/>
          <w:b/>
          <w:bCs/>
          <w:color w:val="1A56A0"/>
          <w:sz w:val="26"/>
          <w:szCs w:val="26"/>
        </w:rPr>
        <w:t xml:space="preserve">8.1 Critical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Gap</w:t>
            </w:r>
          </w:p>
        </w:tc>
        <w:tc>
          <w:tcPr>
            <w:tcW w:type="dxa" w:w="436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Detail</w:t>
            </w:r>
          </w:p>
        </w:tc>
        <w:tc>
          <w:tcPr>
            <w:tcW w:type="dxa" w:w="1800"/>
            <w:tcBorders>
              <w:top w:val="single" w:color="D0D5DE" w:sz="1"/>
              <w:left w:val="single" w:color="D0D5DE" w:sz="1"/>
              <w:bottom w:val="single" w:color="D0D5DE" w:sz="1"/>
              <w:right w:val="single" w:color="D0D5DE" w:sz="1"/>
            </w:tcBorders>
            <w:shd w:fill="0D2B5E" w:val="clear"/>
            <w:tcMar>
              <w:top w:type="dxa" w:w="80"/>
              <w:left w:type="dxa" w:w="140"/>
              <w:bottom w:type="dxa" w:w="80"/>
              <w:right w:type="dxa" w:w="140"/>
            </w:tcMar>
          </w:tcPr>
          <w:p>
            <w:r>
              <w:rPr>
                <w:rFonts w:ascii="Arial" w:cs="Arial" w:eastAsia="Arial" w:hAnsi="Arial"/>
                <w:b/>
                <w:bCs/>
                <w:color w:val="FFFFFF"/>
                <w:sz w:val="19"/>
                <w:szCs w:val="19"/>
              </w:rPr>
              <w:t xml:space="preserve">Risk Level</w:t>
            </w:r>
          </w:p>
        </w:tc>
      </w:tr>
      <w:tr>
        <w:tc>
          <w:tcPr>
            <w:tcW w:type="dxa" w:w="3200"/>
            <w:tcBorders>
              <w:top w:val="single" w:color="D0D5DE" w:sz="1"/>
              <w:left w:val="single" w:color="D0D5DE" w:sz="1"/>
              <w:bottom w:val="single" w:color="D0D5DE" w:sz="1"/>
              <w:right w:val="single" w:color="D0D5DE" w:sz="1"/>
            </w:tcBorders>
            <w:shd w:fill="FADADD" w:val="clear"/>
            <w:tcMar>
              <w:top w:type="dxa" w:w="80"/>
              <w:left w:type="dxa" w:w="140"/>
              <w:bottom w:type="dxa" w:w="80"/>
              <w:right w:type="dxa" w:w="140"/>
            </w:tcMar>
          </w:tcPr>
          <w:p>
            <w:r>
              <w:rPr>
                <w:rFonts w:ascii="Arial" w:cs="Arial" w:eastAsia="Arial" w:hAnsi="Arial"/>
                <w:b w:val="false"/>
                <w:bCs w:val="false"/>
                <w:color w:val="1A1A2E"/>
                <w:sz w:val="20"/>
                <w:szCs w:val="20"/>
              </w:rPr>
              <w:t xml:space="preserve">No production deployment</w:t>
            </w:r>
          </w:p>
        </w:tc>
        <w:tc>
          <w:tcPr>
            <w:tcW w:type="dxa" w:w="4360"/>
            <w:tcBorders>
              <w:top w:val="single" w:color="D0D5DE" w:sz="1"/>
              <w:left w:val="single" w:color="D0D5DE" w:sz="1"/>
              <w:bottom w:val="single" w:color="D0D5DE" w:sz="1"/>
              <w:right w:val="single" w:color="D0D5DE" w:sz="1"/>
            </w:tcBorders>
            <w:shd w:fill="FADADD" w:val="clear"/>
            <w:tcMar>
              <w:top w:type="dxa" w:w="80"/>
              <w:left w:type="dxa" w:w="140"/>
              <w:bottom w:type="dxa" w:w="80"/>
              <w:right w:type="dxa" w:w="140"/>
            </w:tcMar>
          </w:tcPr>
          <w:p>
            <w:r>
              <w:rPr>
                <w:rFonts w:ascii="Arial" w:cs="Arial" w:eastAsia="Arial" w:hAnsi="Arial"/>
                <w:b w:val="false"/>
                <w:bCs w:val="false"/>
                <w:color w:val="1A1A2E"/>
                <w:sz w:val="20"/>
                <w:szCs w:val="20"/>
              </w:rPr>
              <w:t xml:space="preserve">Only Docker Compose local stack; K8s and Bicep are WIP</w:t>
            </w:r>
          </w:p>
        </w:tc>
        <w:tc>
          <w:tcPr>
            <w:tcW w:type="dxa" w:w="1600"/>
            <w:tcBorders>
              <w:top w:val="single" w:color="D0D5DE" w:sz="1"/>
              <w:left w:val="single" w:color="D0D5DE" w:sz="1"/>
              <w:bottom w:val="single" w:color="D0D5DE" w:sz="1"/>
              <w:right w:val="single" w:color="D0D5DE" w:sz="1"/>
            </w:tcBorders>
            <w:shd w:fill="FADADD"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At Risk</w:t>
            </w:r>
          </w:p>
        </w:tc>
      </w:tr>
      <w:tr>
        <w:tc>
          <w:tcPr>
            <w:tcW w:type="dxa" w:w="32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tcPr>
          <w:p>
            <w:r>
              <w:rPr>
                <w:rFonts w:ascii="Arial" w:cs="Arial" w:eastAsia="Arial" w:hAnsi="Arial"/>
                <w:b w:val="false"/>
                <w:bCs w:val="false"/>
                <w:color w:val="1A1A2E"/>
                <w:sz w:val="20"/>
                <w:szCs w:val="20"/>
              </w:rPr>
              <w:t xml:space="preserve">E2E test coverage thin</w:t>
            </w:r>
          </w:p>
        </w:tc>
        <w:tc>
          <w:tcPr>
            <w:tcW w:type="dxa" w:w="436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tcPr>
          <w:p>
            <w:r>
              <w:rPr>
                <w:rFonts w:ascii="Arial" w:cs="Arial" w:eastAsia="Arial" w:hAnsi="Arial"/>
                <w:b w:val="false"/>
                <w:bCs w:val="false"/>
                <w:color w:val="1A1A2E"/>
                <w:sz w:val="20"/>
                <w:szCs w:val="20"/>
              </w:rPr>
              <w:t xml:space="preserve">Acknowledged gap; auth and consent flows unverified end-to-end</w:t>
            </w:r>
          </w:p>
        </w:tc>
        <w:tc>
          <w:tcPr>
            <w:tcW w:type="dxa" w:w="1600"/>
            <w:tcBorders>
              <w:top w:val="single" w:color="D0D5DE" w:sz="1"/>
              <w:left w:val="single" w:color="D0D5DE" w:sz="1"/>
              <w:bottom w:val="single" w:color="D0D5DE" w:sz="1"/>
              <w:right w:val="single" w:color="D0D5DE" w:sz="1"/>
            </w:tcBorders>
            <w:shd w:fill="FADADD"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At Risk</w:t>
            </w:r>
          </w:p>
        </w:tc>
      </w:tr>
      <w:tr>
        <w:tc>
          <w:tcPr>
            <w:tcW w:type="dxa" w:w="32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tcPr>
          <w:p>
            <w:r>
              <w:rPr>
                <w:rFonts w:ascii="Arial" w:cs="Arial" w:eastAsia="Arial" w:hAnsi="Arial"/>
                <w:b w:val="false"/>
                <w:bCs w:val="false"/>
                <w:color w:val="1A1A2E"/>
                <w:sz w:val="20"/>
                <w:szCs w:val="20"/>
              </w:rPr>
              <w:t xml:space="preserve">POPIA not fully verified</w:t>
            </w:r>
          </w:p>
        </w:tc>
        <w:tc>
          <w:tcPr>
            <w:tcW w:type="dxa" w:w="436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tcPr>
          <w:p>
            <w:r>
              <w:rPr>
                <w:rFonts w:ascii="Arial" w:cs="Arial" w:eastAsia="Arial" w:hAnsi="Arial"/>
                <w:b w:val="false"/>
                <w:bCs w:val="false"/>
                <w:color w:val="1A1A2E"/>
                <w:sz w:val="20"/>
                <w:szCs w:val="20"/>
              </w:rPr>
              <w:t xml:space="preserve">Consent, erasure, and audit are design goals, not confirmed implementations</w:t>
            </w:r>
          </w:p>
        </w:tc>
        <w:tc>
          <w:tcPr>
            <w:tcW w:type="dxa" w:w="1600"/>
            <w:tcBorders>
              <w:top w:val="single" w:color="D0D5DE" w:sz="1"/>
              <w:left w:val="single" w:color="D0D5DE" w:sz="1"/>
              <w:bottom w:val="single" w:color="D0D5DE" w:sz="1"/>
              <w:right w:val="single" w:color="D0D5DE" w:sz="1"/>
            </w:tcBorders>
            <w:shd w:fill="FADADD"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At Risk</w:t>
            </w:r>
          </w:p>
        </w:tc>
      </w:tr>
      <w:tr>
        <w:tc>
          <w:tcPr>
            <w:tcW w:type="dxa" w:w="32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tcPr>
          <w:p>
            <w:r>
              <w:rPr>
                <w:rFonts w:ascii="Arial" w:cs="Arial" w:eastAsia="Arial" w:hAnsi="Arial"/>
                <w:b w:val="false"/>
                <w:bCs w:val="false"/>
                <w:color w:val="1A1A2E"/>
                <w:sz w:val="20"/>
                <w:szCs w:val="20"/>
              </w:rPr>
              <w:t xml:space="preserve">DB migration drift risk</w:t>
            </w:r>
          </w:p>
        </w:tc>
        <w:tc>
          <w:tcPr>
            <w:tcW w:type="dxa" w:w="436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tcPr>
          <w:p>
            <w:r>
              <w:rPr>
                <w:rFonts w:ascii="Arial" w:cs="Arial" w:eastAsia="Arial" w:hAnsi="Arial"/>
                <w:b w:val="false"/>
                <w:bCs w:val="false"/>
                <w:color w:val="1A1A2E"/>
                <w:sz w:val="20"/>
                <w:szCs w:val="20"/>
              </w:rPr>
              <w:t xml:space="preserve">Transitioning to Alembic; drift prevention still a key focus</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2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CI/CD promotion gates</w:t>
            </w:r>
          </w:p>
        </w:tc>
        <w:tc>
          <w:tcPr>
            <w:tcW w:type="dxa" w:w="4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GitHub Actions present but production-promotion gates still evolving</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r>
        <w:tc>
          <w:tcPr>
            <w:tcW w:type="dxa" w:w="32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No runbooks</w:t>
            </w:r>
          </w:p>
        </w:tc>
        <w:tc>
          <w:tcPr>
            <w:tcW w:type="dxa" w:w="4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Operational runbooks not yet published</w:t>
            </w:r>
          </w:p>
        </w:tc>
        <w:tc>
          <w:tcPr>
            <w:tcW w:type="dxa" w:w="16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vAlign w:val="center"/>
          </w:tcPr>
          <w:p>
            <w:pPr>
              <w:jc w:val="center"/>
            </w:pPr>
            <w:r>
              <w:rPr>
                <w:rFonts w:ascii="Arial" w:cs="Arial" w:eastAsia="Arial" w:hAnsi="Arial"/>
                <w:b/>
                <w:bCs/>
                <w:color w:val="3D4660"/>
                <w:sz w:val="18"/>
                <w:szCs w:val="18"/>
              </w:rPr>
              <w:t xml:space="preserve">Planned</w:t>
            </w:r>
          </w:p>
        </w:tc>
      </w:tr>
      <w:tr>
        <w:tc>
          <w:tcPr>
            <w:tcW w:type="dxa" w:w="32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Frontend E2E testing</w:t>
            </w:r>
          </w:p>
        </w:tc>
        <w:tc>
          <w:tcPr>
            <w:tcW w:type="dxa" w:w="4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Browser-level E2E tests not yet in place</w:t>
            </w:r>
          </w:p>
        </w:tc>
        <w:tc>
          <w:tcPr>
            <w:tcW w:type="dxa" w:w="16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vAlign w:val="center"/>
          </w:tcPr>
          <w:p>
            <w:pPr>
              <w:jc w:val="center"/>
            </w:pPr>
            <w:r>
              <w:rPr>
                <w:rFonts w:ascii="Arial" w:cs="Arial" w:eastAsia="Arial" w:hAnsi="Arial"/>
                <w:b/>
                <w:bCs/>
                <w:color w:val="3D4660"/>
                <w:sz w:val="18"/>
                <w:szCs w:val="18"/>
              </w:rPr>
              <w:t xml:space="preserve">Planned</w:t>
            </w:r>
          </w:p>
        </w:tc>
      </w:tr>
      <w:tr>
        <w:tc>
          <w:tcPr>
            <w:tcW w:type="dxa" w:w="32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Contributing guidelines</w:t>
            </w:r>
          </w:p>
        </w:tc>
        <w:tc>
          <w:tcPr>
            <w:tcW w:type="dxa" w:w="4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Contribution process not yet formalised</w:t>
            </w:r>
          </w:p>
        </w:tc>
        <w:tc>
          <w:tcPr>
            <w:tcW w:type="dxa" w:w="16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vAlign w:val="center"/>
          </w:tcPr>
          <w:p>
            <w:pPr>
              <w:jc w:val="center"/>
            </w:pPr>
            <w:r>
              <w:rPr>
                <w:rFonts w:ascii="Arial" w:cs="Arial" w:eastAsia="Arial" w:hAnsi="Arial"/>
                <w:b/>
                <w:bCs/>
                <w:color w:val="3D4660"/>
                <w:sz w:val="18"/>
                <w:szCs w:val="18"/>
              </w:rPr>
              <w:t xml:space="preserve">Planned</w:t>
            </w:r>
          </w:p>
        </w:tc>
      </w:tr>
      <w:tr>
        <w:tc>
          <w:tcPr>
            <w:tcW w:type="dxa" w:w="320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LLM provider governance</w:t>
            </w:r>
          </w:p>
        </w:tc>
        <w:tc>
          <w:tcPr>
            <w:tcW w:type="dxa" w:w="4360"/>
            <w:tcBorders>
              <w:top w:val="single" w:color="D0D5DE" w:sz="1"/>
              <w:left w:val="single" w:color="D0D5DE" w:sz="1"/>
              <w:bottom w:val="single" w:color="D0D5DE" w:sz="1"/>
              <w:right w:val="single" w:color="D0D5DE" w:sz="1"/>
            </w:tcBorders>
            <w:shd w:fill="F2F4F7" w:val="clear"/>
            <w:tcMar>
              <w:top w:type="dxa" w:w="80"/>
              <w:left w:type="dxa" w:w="140"/>
              <w:bottom w:type="dxa" w:w="80"/>
              <w:right w:type="dxa" w:w="140"/>
            </w:tcMar>
          </w:tcPr>
          <w:p>
            <w:r>
              <w:rPr>
                <w:rFonts w:ascii="Arial" w:cs="Arial" w:eastAsia="Arial" w:hAnsi="Arial"/>
                <w:b w:val="false"/>
                <w:bCs w:val="false"/>
                <w:color w:val="1A1A2E"/>
                <w:sz w:val="20"/>
                <w:szCs w:val="20"/>
              </w:rPr>
              <w:t xml:space="preserve">Broader LLM firewall / multi-provider governance still hardening</w:t>
            </w:r>
          </w:p>
        </w:tc>
        <w:tc>
          <w:tcPr>
            <w:tcW w:type="dxa" w:w="1600"/>
            <w:tcBorders>
              <w:top w:val="single" w:color="D0D5DE" w:sz="1"/>
              <w:left w:val="single" w:color="D0D5DE" w:sz="1"/>
              <w:bottom w:val="single" w:color="D0D5DE" w:sz="1"/>
              <w:right w:val="single" w:color="D0D5DE" w:sz="1"/>
            </w:tcBorders>
            <w:shd w:fill="FDF0D5" w:val="clear"/>
            <w:tcMar>
              <w:top w:type="dxa" w:w="80"/>
              <w:left w:type="dxa" w:w="140"/>
              <w:bottom w:type="dxa" w:w="80"/>
              <w:right w:type="dxa" w:w="140"/>
            </w:tcMar>
            <w:vAlign w:val="center"/>
          </w:tcPr>
          <w:p>
            <w:pPr>
              <w:jc w:val="center"/>
            </w:pPr>
            <w:r>
              <w:rPr>
                <w:rFonts w:ascii="Arial" w:cs="Arial" w:eastAsia="Arial" w:hAnsi="Arial"/>
                <w:b/>
                <w:bCs/>
                <w:color w:val="E07B00"/>
                <w:sz w:val="18"/>
                <w:szCs w:val="18"/>
              </w:rPr>
              <w:t xml:space="preserve">In Progress</w:t>
            </w:r>
          </w:p>
        </w:tc>
      </w:tr>
    </w:tbl>
    <w:p>
      <w:r>
        <w:rPr>
          <w:sz w:val="10"/>
          <w:szCs w:val="10"/>
        </w:rPr>
        <w:t xml:space="preserve"/>
      </w:r>
    </w:p>
    <w:p>
      <w:pPr>
        <w:pStyle w:val="Heading2"/>
        <w:spacing w:after="120" w:before="240"/>
      </w:pPr>
      <w:r>
        <w:rPr>
          <w:rFonts w:ascii="Arial" w:cs="Arial" w:eastAsia="Arial" w:hAnsi="Arial"/>
          <w:b/>
          <w:bCs/>
          <w:color w:val="1A56A0"/>
          <w:sz w:val="26"/>
          <w:szCs w:val="26"/>
        </w:rPr>
        <w:t xml:space="preserve">8.2 Documentation Drift Warning</w:t>
      </w:r>
    </w:p>
    <w:p>
      <w:pPr>
        <w:spacing w:after="80" w:before="80"/>
      </w:pPr>
      <w:r>
        <w:rPr>
          <w:rFonts w:ascii="Arial" w:cs="Arial" w:eastAsia="Arial" w:hAnsi="Arial"/>
          <w:color w:val="1A1A2E"/>
          <w:sz w:val="22"/>
          <w:szCs w:val="22"/>
        </w:rPr>
        <w:t xml:space="preserve">The README explicitly warns against documentation drift: "documentation must be kept aligned with the real repository state (avoid roadmap/report drift)". This is a deliberate risk callout by the maintainers — any future reporting or roadmap documents should be cross-referenced with actual code state, not marketing descriptions.</w:t>
      </w:r>
    </w:p>
    <w:p>
      <w:r>
        <w:rPr>
          <w:sz w:val="10"/>
          <w:szCs w:val="10"/>
        </w:rPr>
        <w:t xml:space="preserve"/>
      </w:r>
    </w:p>
    <w:p>
      <w:r>
        <w:br w:type="page"/>
      </w:r>
    </w:p>
    <w:p>
      <w:pPr>
        <w:pStyle w:val="Heading1"/>
        <w:pBdr>
          <w:bottom w:val="single" w:color="1A56A0" w:sz="8" w:space="4"/>
        </w:pBdr>
        <w:spacing w:after="160" w:before="320"/>
      </w:pPr>
      <w:r>
        <w:rPr>
          <w:rFonts w:ascii="Arial" w:cs="Arial" w:eastAsia="Arial" w:hAnsi="Arial"/>
          <w:b/>
          <w:bCs/>
          <w:color w:val="0D2B5E"/>
          <w:sz w:val="32"/>
          <w:szCs w:val="32"/>
        </w:rPr>
        <w:t xml:space="preserve">9. Agentic Development Workflow</w:t>
      </w:r>
    </w:p>
    <w:p>
      <w:pPr>
        <w:spacing w:after="80" w:before="80"/>
      </w:pPr>
      <w:r>
        <w:rPr>
          <w:rFonts w:ascii="Arial" w:cs="Arial" w:eastAsia="Arial" w:hAnsi="Arial"/>
          <w:color w:val="1A1A2E"/>
          <w:sz w:val="22"/>
          <w:szCs w:val="22"/>
        </w:rPr>
        <w:t xml:space="preserve">EduBoost SA has adopted an AI-agent-assisted development model, documented in AGENT_INSTRUCTIONS.md. This represents an interesting architectural decision: the project is designed to be evolved collaboratively with AI coding agents (such as "Antigravity") using elevated autonomy.</w:t>
      </w:r>
    </w:p>
    <w:p>
      <w:r>
        <w:rPr>
          <w:sz w:val="10"/>
          <w:szCs w:val="10"/>
        </w:rPr>
        <w:t xml:space="preserve"/>
      </w:r>
    </w:p>
    <w:p>
      <w:pPr>
        <w:pStyle w:val="Heading2"/>
        <w:spacing w:after="120" w:before="240"/>
      </w:pPr>
      <w:r>
        <w:rPr>
          <w:rFonts w:ascii="Arial" w:cs="Arial" w:eastAsia="Arial" w:hAnsi="Arial"/>
          <w:b/>
          <w:bCs/>
          <w:color w:val="1A56A0"/>
          <w:sz w:val="26"/>
          <w:szCs w:val="26"/>
        </w:rPr>
        <w:t xml:space="preserve">9.1 Agent Operating Model</w:t>
      </w:r>
    </w:p>
    <w:p>
      <w:pPr>
        <w:pStyle w:val="ListParagraph"/>
        <w:numPr>
          <w:ilvl w:val="0"/>
          <w:numId w:val="2"/>
        </w:numPr>
        <w:spacing w:after="60" w:before="60"/>
      </w:pPr>
      <w:r>
        <w:rPr>
          <w:rFonts w:ascii="Arial" w:cs="Arial" w:eastAsia="Arial" w:hAnsi="Arial"/>
          <w:color w:val="1A1A2E"/>
          <w:sz w:val="22"/>
          <w:szCs w:val="22"/>
        </w:rPr>
        <w:t xml:space="preserve">Elevated Autonomy: Agents receive high-level 'Epics' and execute autonomously — not line-by-line instructions</w:t>
      </w:r>
    </w:p>
    <w:p>
      <w:pPr>
        <w:pStyle w:val="ListParagraph"/>
        <w:numPr>
          <w:ilvl w:val="0"/>
          <w:numId w:val="2"/>
        </w:numPr>
        <w:spacing w:after="60" w:before="60"/>
      </w:pPr>
      <w:r>
        <w:rPr>
          <w:rFonts w:ascii="Arial" w:cs="Arial" w:eastAsia="Arial" w:hAnsi="Arial"/>
          <w:color w:val="1A1A2E"/>
          <w:sz w:val="22"/>
          <w:szCs w:val="22"/>
        </w:rPr>
        <w:t xml:space="preserve">TDD Loop: Agents must write tests first, run them to confirm failure, implement the feature, re-run until green, then commit</w:t>
      </w:r>
    </w:p>
    <w:p>
      <w:pPr>
        <w:pStyle w:val="ListParagraph"/>
        <w:numPr>
          <w:ilvl w:val="0"/>
          <w:numId w:val="2"/>
        </w:numPr>
        <w:spacing w:after="60" w:before="60"/>
      </w:pPr>
      <w:r>
        <w:rPr>
          <w:rFonts w:ascii="Arial" w:cs="Arial" w:eastAsia="Arial" w:hAnsi="Arial"/>
          <w:color w:val="1A1A2E"/>
          <w:sz w:val="22"/>
          <w:szCs w:val="22"/>
        </w:rPr>
        <w:t xml:space="preserve">Browser Subagents: Used for visual verification of the Next.js frontend during development</w:t>
      </w:r>
    </w:p>
    <w:p>
      <w:pPr>
        <w:pStyle w:val="ListParagraph"/>
        <w:numPr>
          <w:ilvl w:val="0"/>
          <w:numId w:val="2"/>
        </w:numPr>
        <w:spacing w:after="60" w:before="60"/>
      </w:pPr>
      <w:r>
        <w:rPr>
          <w:rFonts w:ascii="Arial" w:cs="Arial" w:eastAsia="Arial" w:hAnsi="Arial"/>
          <w:color w:val="1A1A2E"/>
          <w:sz w:val="22"/>
          <w:szCs w:val="22"/>
        </w:rPr>
        <w:t xml:space="preserve">Chaos Sweeps: Agents proactively grep-search for POPIA compliance, type hints, and linting issues</w:t>
      </w:r>
    </w:p>
    <w:p>
      <w:pPr>
        <w:pStyle w:val="ListParagraph"/>
        <w:numPr>
          <w:ilvl w:val="0"/>
          <w:numId w:val="2"/>
        </w:numPr>
        <w:spacing w:after="60" w:before="60"/>
      </w:pPr>
      <w:r>
        <w:rPr>
          <w:rFonts w:ascii="Arial" w:cs="Arial" w:eastAsia="Arial" w:hAnsi="Arial"/>
          <w:color w:val="1A1A2E"/>
          <w:sz w:val="22"/>
          <w:szCs w:val="22"/>
        </w:rPr>
        <w:t xml:space="preserve">Terminal Heavy: Local Redis, Postgres, and Celery spun up to guarantee E2E integration before reporting back</w:t>
      </w:r>
    </w:p>
    <w:p>
      <w:r>
        <w:rPr>
          <w:sz w:val="10"/>
          <w:szCs w:val="10"/>
        </w:rPr>
        <w:t xml:space="preserve"/>
      </w:r>
    </w:p>
    <w:p>
      <w:pPr>
        <w:pStyle w:val="Heading2"/>
        <w:spacing w:after="120" w:before="240"/>
      </w:pPr>
      <w:r>
        <w:rPr>
          <w:rFonts w:ascii="Arial" w:cs="Arial" w:eastAsia="Arial" w:hAnsi="Arial"/>
          <w:b/>
          <w:bCs/>
          <w:color w:val="1A56A0"/>
          <w:sz w:val="26"/>
          <w:szCs w:val="26"/>
        </w:rPr>
        <w:t xml:space="preserve">9.2 Tracking Files</w:t>
      </w:r>
    </w:p>
    <w:p>
      <w:pPr>
        <w:pStyle w:val="ListParagraph"/>
        <w:numPr>
          <w:ilvl w:val="0"/>
          <w:numId w:val="2"/>
        </w:numPr>
        <w:spacing w:after="60" w:before="60"/>
      </w:pPr>
      <w:r>
        <w:rPr>
          <w:rFonts w:ascii="Arial" w:cs="Arial" w:eastAsia="Arial" w:hAnsi="Arial"/>
          <w:color w:val="1A1A2E"/>
          <w:sz w:val="22"/>
          <w:szCs w:val="22"/>
        </w:rPr>
        <w:t xml:space="preserve">audits/roadmaps/Agentic_Execution_Roadmap.md</w:t>
      </w:r>
    </w:p>
    <w:p>
      <w:pPr>
        <w:pStyle w:val="ListParagraph"/>
        <w:numPr>
          <w:ilvl w:val="0"/>
          <w:numId w:val="2"/>
        </w:numPr>
        <w:spacing w:after="60" w:before="60"/>
      </w:pPr>
      <w:r>
        <w:rPr>
          <w:rFonts w:ascii="Arial" w:cs="Arial" w:eastAsia="Arial" w:hAnsi="Arial"/>
          <w:color w:val="1A1A2E"/>
          <w:sz w:val="22"/>
          <w:szCs w:val="22"/>
        </w:rPr>
        <w:t xml:space="preserve">audits/reports/Agentic_Execution_Report.md</w:t>
      </w:r>
    </w:p>
    <w:p>
      <w:r>
        <w:rPr>
          <w:sz w:val="10"/>
          <w:szCs w:val="10"/>
        </w:rPr>
        <w:t xml:space="preserve"/>
      </w:r>
    </w:p>
    <w:p>
      <w:pPr>
        <w:pStyle w:val="Heading2"/>
        <w:spacing w:after="120" w:before="240"/>
      </w:pPr>
      <w:r>
        <w:rPr>
          <w:rFonts w:ascii="Arial" w:cs="Arial" w:eastAsia="Arial" w:hAnsi="Arial"/>
          <w:b/>
          <w:bCs/>
          <w:color w:val="1A56A0"/>
          <w:sz w:val="26"/>
          <w:szCs w:val="26"/>
        </w:rPr>
        <w:t xml:space="preserve">9.3 Version Control Discipline</w:t>
      </w:r>
    </w:p>
    <w:p>
      <w:pPr>
        <w:spacing w:after="80" w:before="80"/>
      </w:pPr>
      <w:r>
        <w:rPr>
          <w:rFonts w:ascii="Arial" w:cs="Arial" w:eastAsia="Arial" w:hAnsi="Arial"/>
          <w:color w:val="1A1A2E"/>
          <w:sz w:val="22"/>
          <w:szCs w:val="22"/>
        </w:rPr>
        <w:t xml:space="preserve">All agent-produced changes must be committed and pushed to the remote repository immediately after completion, with descriptive commit messages referencing the Epic or task.</w:t>
      </w:r>
    </w:p>
    <w:p>
      <w:r>
        <w:rPr>
          <w:sz w:val="10"/>
          <w:szCs w:val="10"/>
        </w:rPr>
        <w:t xml:space="preserve"/>
      </w:r>
    </w:p>
    <w:p>
      <w:r>
        <w:br w:type="page"/>
      </w:r>
    </w:p>
    <w:p>
      <w:pPr>
        <w:pStyle w:val="Heading1"/>
        <w:pBdr>
          <w:bottom w:val="single" w:color="1A56A0" w:sz="8" w:space="4"/>
        </w:pBdr>
        <w:spacing w:after="160" w:before="320"/>
      </w:pPr>
      <w:r>
        <w:rPr>
          <w:rFonts w:ascii="Arial" w:cs="Arial" w:eastAsia="Arial" w:hAnsi="Arial"/>
          <w:b/>
          <w:bCs/>
          <w:color w:val="0D2B5E"/>
          <w:sz w:val="32"/>
          <w:szCs w:val="32"/>
        </w:rPr>
        <w:t xml:space="preserve">10. Recommendations &amp; Next Steps</w:t>
      </w:r>
    </w:p>
    <w:p>
      <w:pPr>
        <w:pStyle w:val="Heading2"/>
        <w:spacing w:after="120" w:before="240"/>
      </w:pPr>
      <w:r>
        <w:rPr>
          <w:rFonts w:ascii="Arial" w:cs="Arial" w:eastAsia="Arial" w:hAnsi="Arial"/>
          <w:b/>
          <w:bCs/>
          <w:color w:val="1A56A0"/>
          <w:sz w:val="26"/>
          <w:szCs w:val="26"/>
        </w:rPr>
        <w:t xml:space="preserve">10.1 Immediate Priorities (Next 30 Days)</w:t>
      </w:r>
    </w:p>
    <w:p>
      <w:pPr>
        <w:pStyle w:val="ListParagraph"/>
        <w:numPr>
          <w:ilvl w:val="0"/>
          <w:numId w:val="2"/>
        </w:numPr>
        <w:spacing w:after="60" w:before="60"/>
      </w:pPr>
      <w:r>
        <w:rPr>
          <w:rFonts w:ascii="Arial" w:cs="Arial" w:eastAsia="Arial" w:hAnsi="Arial"/>
          <w:color w:val="1A1A2E"/>
          <w:sz w:val="22"/>
          <w:szCs w:val="22"/>
        </w:rPr>
        <w:t xml:space="preserve">Finalise Alembic migration workflow and disable any remaining runtime schema auto-creation</w:t>
      </w:r>
    </w:p>
    <w:p>
      <w:pPr>
        <w:pStyle w:val="ListParagraph"/>
        <w:numPr>
          <w:ilvl w:val="0"/>
          <w:numId w:val="2"/>
        </w:numPr>
        <w:spacing w:after="60" w:before="60"/>
      </w:pPr>
      <w:r>
        <w:rPr>
          <w:rFonts w:ascii="Arial" w:cs="Arial" w:eastAsia="Arial" w:hAnsi="Arial"/>
          <w:color w:val="1A1A2E"/>
          <w:sz w:val="22"/>
          <w:szCs w:val="22"/>
        </w:rPr>
        <w:t xml:space="preserve">Implement E2E test suite for critical user journeys: learner login → diagnostic → lesson → progress</w:t>
      </w:r>
    </w:p>
    <w:p>
      <w:pPr>
        <w:pStyle w:val="ListParagraph"/>
        <w:numPr>
          <w:ilvl w:val="0"/>
          <w:numId w:val="2"/>
        </w:numPr>
        <w:spacing w:after="60" w:before="60"/>
      </w:pPr>
      <w:r>
        <w:rPr>
          <w:rFonts w:ascii="Arial" w:cs="Arial" w:eastAsia="Arial" w:hAnsi="Arial"/>
          <w:color w:val="1A1A2E"/>
          <w:sz w:val="22"/>
          <w:szCs w:val="22"/>
        </w:rPr>
        <w:t xml:space="preserve">Conduct a formal POPIA gap assessment — engage a qualified privacy practitioner before launch</w:t>
      </w:r>
    </w:p>
    <w:p>
      <w:pPr>
        <w:pStyle w:val="ListParagraph"/>
        <w:numPr>
          <w:ilvl w:val="0"/>
          <w:numId w:val="2"/>
        </w:numPr>
        <w:spacing w:after="60" w:before="60"/>
      </w:pPr>
      <w:r>
        <w:rPr>
          <w:rFonts w:ascii="Arial" w:cs="Arial" w:eastAsia="Arial" w:hAnsi="Arial"/>
          <w:color w:val="1A1A2E"/>
          <w:sz w:val="22"/>
          <w:szCs w:val="22"/>
        </w:rPr>
        <w:t xml:space="preserve">Establish production deployment target: decide definitively between K8s and Bicep/Azure paths</w:t>
      </w:r>
    </w:p>
    <w:p>
      <w:r>
        <w:rPr>
          <w:sz w:val="10"/>
          <w:szCs w:val="10"/>
        </w:rPr>
        <w:t xml:space="preserve"/>
      </w:r>
    </w:p>
    <w:p>
      <w:pPr>
        <w:pStyle w:val="Heading2"/>
        <w:spacing w:after="120" w:before="240"/>
      </w:pPr>
      <w:r>
        <w:rPr>
          <w:rFonts w:ascii="Arial" w:cs="Arial" w:eastAsia="Arial" w:hAnsi="Arial"/>
          <w:b/>
          <w:bCs/>
          <w:color w:val="1A56A0"/>
          <w:sz w:val="26"/>
          <w:szCs w:val="26"/>
        </w:rPr>
        <w:t xml:space="preserve">10.2 Short-Term Priorities (30–90 Days)</w:t>
      </w:r>
    </w:p>
    <w:p>
      <w:pPr>
        <w:pStyle w:val="ListParagraph"/>
        <w:numPr>
          <w:ilvl w:val="0"/>
          <w:numId w:val="2"/>
        </w:numPr>
        <w:spacing w:after="60" w:before="60"/>
      </w:pPr>
      <w:r>
        <w:rPr>
          <w:rFonts w:ascii="Arial" w:cs="Arial" w:eastAsia="Arial" w:hAnsi="Arial"/>
          <w:color w:val="1A1A2E"/>
          <w:sz w:val="22"/>
          <w:szCs w:val="22"/>
        </w:rPr>
        <w:t xml:space="preserve">Complete parental consent enforcement in the backend before any real learner data is processed</w:t>
      </w:r>
    </w:p>
    <w:p>
      <w:pPr>
        <w:pStyle w:val="ListParagraph"/>
        <w:numPr>
          <w:ilvl w:val="0"/>
          <w:numId w:val="2"/>
        </w:numPr>
        <w:spacing w:after="60" w:before="60"/>
      </w:pPr>
      <w:r>
        <w:rPr>
          <w:rFonts w:ascii="Arial" w:cs="Arial" w:eastAsia="Arial" w:hAnsi="Arial"/>
          <w:color w:val="1A1A2E"/>
          <w:sz w:val="22"/>
          <w:szCs w:val="22"/>
        </w:rPr>
        <w:t xml:space="preserve">Implement and verify right-to-erasure workflow across all data stores including Redis and LLM call logs</w:t>
      </w:r>
    </w:p>
    <w:p>
      <w:pPr>
        <w:pStyle w:val="ListParagraph"/>
        <w:numPr>
          <w:ilvl w:val="0"/>
          <w:numId w:val="2"/>
        </w:numPr>
        <w:spacing w:after="60" w:before="60"/>
      </w:pPr>
      <w:r>
        <w:rPr>
          <w:rFonts w:ascii="Arial" w:cs="Arial" w:eastAsia="Arial" w:hAnsi="Arial"/>
          <w:color w:val="1A1A2E"/>
          <w:sz w:val="22"/>
          <w:szCs w:val="22"/>
        </w:rPr>
        <w:t xml:space="preserve">Harden CI/CD with production-promotion gates: test pass thresholds, coverage minimums, security scans</w:t>
      </w:r>
    </w:p>
    <w:p>
      <w:pPr>
        <w:pStyle w:val="ListParagraph"/>
        <w:numPr>
          <w:ilvl w:val="0"/>
          <w:numId w:val="2"/>
        </w:numPr>
        <w:spacing w:after="60" w:before="60"/>
      </w:pPr>
      <w:r>
        <w:rPr>
          <w:rFonts w:ascii="Arial" w:cs="Arial" w:eastAsia="Arial" w:hAnsi="Arial"/>
          <w:color w:val="1A1A2E"/>
          <w:sz w:val="22"/>
          <w:szCs w:val="22"/>
        </w:rPr>
        <w:t xml:space="preserve">Build and publish operational runbooks for each major service</w:t>
      </w:r>
    </w:p>
    <w:p>
      <w:pPr>
        <w:pStyle w:val="ListParagraph"/>
        <w:numPr>
          <w:ilvl w:val="0"/>
          <w:numId w:val="2"/>
        </w:numPr>
        <w:spacing w:after="60" w:before="60"/>
      </w:pPr>
      <w:r>
        <w:rPr>
          <w:rFonts w:ascii="Arial" w:cs="Arial" w:eastAsia="Arial" w:hAnsi="Arial"/>
          <w:color w:val="1A1A2E"/>
          <w:sz w:val="22"/>
          <w:szCs w:val="22"/>
        </w:rPr>
        <w:t xml:space="preserve">Formalise contributing guidelines to support team growth</w:t>
      </w:r>
    </w:p>
    <w:p>
      <w:r>
        <w:rPr>
          <w:sz w:val="10"/>
          <w:szCs w:val="10"/>
        </w:rPr>
        <w:t xml:space="preserve"/>
      </w:r>
    </w:p>
    <w:p>
      <w:pPr>
        <w:pStyle w:val="Heading2"/>
        <w:spacing w:after="120" w:before="240"/>
      </w:pPr>
      <w:r>
        <w:rPr>
          <w:rFonts w:ascii="Arial" w:cs="Arial" w:eastAsia="Arial" w:hAnsi="Arial"/>
          <w:b/>
          <w:bCs/>
          <w:color w:val="1A56A0"/>
          <w:sz w:val="26"/>
          <w:szCs w:val="26"/>
        </w:rPr>
        <w:t xml:space="preserve">10.3 Medium-Term Priorities (90+ Days)</w:t>
      </w:r>
    </w:p>
    <w:p>
      <w:pPr>
        <w:pStyle w:val="ListParagraph"/>
        <w:numPr>
          <w:ilvl w:val="0"/>
          <w:numId w:val="2"/>
        </w:numPr>
        <w:spacing w:after="60" w:before="60"/>
      </w:pPr>
      <w:r>
        <w:rPr>
          <w:rFonts w:ascii="Arial" w:cs="Arial" w:eastAsia="Arial" w:hAnsi="Arial"/>
          <w:color w:val="1A1A2E"/>
          <w:sz w:val="22"/>
          <w:szCs w:val="22"/>
        </w:rPr>
        <w:t xml:space="preserve">Expand observability to cover learner-journey SLOs and business-level metrics (daily active learners, lesson completion rate)</w:t>
      </w:r>
    </w:p>
    <w:p>
      <w:pPr>
        <w:pStyle w:val="ListParagraph"/>
        <w:numPr>
          <w:ilvl w:val="0"/>
          <w:numId w:val="2"/>
        </w:numPr>
        <w:spacing w:after="60" w:before="60"/>
      </w:pPr>
      <w:r>
        <w:rPr>
          <w:rFonts w:ascii="Arial" w:cs="Arial" w:eastAsia="Arial" w:hAnsi="Arial"/>
          <w:color w:val="1A1A2E"/>
          <w:sz w:val="22"/>
          <w:szCs w:val="22"/>
        </w:rPr>
        <w:t xml:space="preserve">Implement full browser E2E test suite (Playwright or Cypress) for frontend coverage</w:t>
      </w:r>
    </w:p>
    <w:p>
      <w:pPr>
        <w:pStyle w:val="ListParagraph"/>
        <w:numPr>
          <w:ilvl w:val="0"/>
          <w:numId w:val="2"/>
        </w:numPr>
        <w:spacing w:after="60" w:before="60"/>
      </w:pPr>
      <w:r>
        <w:rPr>
          <w:rFonts w:ascii="Arial" w:cs="Arial" w:eastAsia="Arial" w:hAnsi="Arial"/>
          <w:color w:val="1A1A2E"/>
          <w:sz w:val="22"/>
          <w:szCs w:val="22"/>
        </w:rPr>
        <w:t xml:space="preserve">Complete LLM provider governance framework — multi-provider routing, cost controls, content filtering</w:t>
      </w:r>
    </w:p>
    <w:p>
      <w:pPr>
        <w:pStyle w:val="ListParagraph"/>
        <w:numPr>
          <w:ilvl w:val="0"/>
          <w:numId w:val="2"/>
        </w:numPr>
        <w:spacing w:after="60" w:before="60"/>
      </w:pPr>
      <w:r>
        <w:rPr>
          <w:rFonts w:ascii="Arial" w:cs="Arial" w:eastAsia="Arial" w:hAnsi="Arial"/>
          <w:color w:val="1A1A2E"/>
          <w:sz w:val="22"/>
          <w:szCs w:val="22"/>
        </w:rPr>
        <w:t xml:space="preserve">Move Kubernetes manifests to a deployable state and establish a staging environment</w:t>
      </w:r>
    </w:p>
    <w:p>
      <w:pPr>
        <w:pStyle w:val="ListParagraph"/>
        <w:numPr>
          <w:ilvl w:val="0"/>
          <w:numId w:val="2"/>
        </w:numPr>
        <w:spacing w:after="60" w:before="60"/>
      </w:pPr>
      <w:r>
        <w:rPr>
          <w:rFonts w:ascii="Arial" w:cs="Arial" w:eastAsia="Arial" w:hAnsi="Arial"/>
          <w:color w:val="1A1A2E"/>
          <w:sz w:val="22"/>
          <w:szCs w:val="22"/>
        </w:rPr>
        <w:t xml:space="preserve">Formalise gamification mechanics for Grade 4–7 learners (currently planned, not implemented)</w:t>
      </w:r>
    </w:p>
    <w:p>
      <w:r>
        <w:rPr>
          <w:sz w:val="10"/>
          <w:szCs w:val="10"/>
        </w:rPr>
        <w:t xml:space="preserve"/>
      </w:r>
    </w:p>
    <w:p>
      <w:r>
        <w:br w:type="page"/>
      </w:r>
    </w:p>
    <w:p>
      <w:pPr>
        <w:pStyle w:val="Heading1"/>
        <w:pBdr>
          <w:bottom w:val="single" w:color="1A56A0" w:sz="8" w:space="4"/>
        </w:pBdr>
        <w:spacing w:after="160" w:before="320"/>
      </w:pPr>
      <w:r>
        <w:rPr>
          <w:rFonts w:ascii="Arial" w:cs="Arial" w:eastAsia="Arial" w:hAnsi="Arial"/>
          <w:b/>
          <w:bCs/>
          <w:color w:val="0D2B5E"/>
          <w:sz w:val="32"/>
          <w:szCs w:val="32"/>
        </w:rPr>
        <w:t xml:space="preserve">11. Conclusion</w:t>
      </w:r>
    </w:p>
    <w:p>
      <w:pPr>
        <w:spacing w:after="80" w:before="80"/>
      </w:pPr>
      <w:r>
        <w:rPr>
          <w:rFonts w:ascii="Arial" w:cs="Arial" w:eastAsia="Arial" w:hAnsi="Arial"/>
          <w:color w:val="1A1A2E"/>
          <w:sz w:val="22"/>
          <w:szCs w:val="22"/>
        </w:rPr>
        <w:t xml:space="preserve">EduBoost SA is a well-conceived platform with a clear social mission and a mature architectural vision. At 50 commits, the project has established a solid technical foundation: a clean FastAPI/Next.js split, a well-defined service layer, IRT-based adaptive logic, and a thoughtful POPIA-oriented design philosophy.</w:t>
      </w:r>
    </w:p>
    <w:p>
      <w:r>
        <w:rPr>
          <w:sz w:val="10"/>
          <w:szCs w:val="10"/>
        </w:rPr>
        <w:t xml:space="preserve"/>
      </w:r>
    </w:p>
    <w:p>
      <w:pPr>
        <w:spacing w:after="80" w:before="80"/>
      </w:pPr>
      <w:r>
        <w:rPr>
          <w:rFonts w:ascii="Arial" w:cs="Arial" w:eastAsia="Arial" w:hAnsi="Arial"/>
          <w:color w:val="1A1A2E"/>
          <w:sz w:val="22"/>
          <w:szCs w:val="22"/>
        </w:rPr>
        <w:t xml:space="preserve">The most significant risk at this stage is the gap between design intent and verified implementation — particularly around POPIA compliance, end-to-end test coverage, and production deployability. These are acknowledged gaps (the team has been admirably transparent about them) but they represent the critical path to any real-world learner deployment.</w:t>
      </w:r>
    </w:p>
    <w:p>
      <w:r>
        <w:rPr>
          <w:sz w:val="10"/>
          <w:szCs w:val="10"/>
        </w:rPr>
        <w:t xml:space="preserve"/>
      </w:r>
    </w:p>
    <w:p>
      <w:pPr>
        <w:spacing w:after="80" w:before="80"/>
      </w:pPr>
      <w:r>
        <w:rPr>
          <w:rFonts w:ascii="Arial" w:cs="Arial" w:eastAsia="Arial" w:hAnsi="Arial"/>
          <w:color w:val="1A1A2E"/>
          <w:sz w:val="22"/>
          <w:szCs w:val="22"/>
        </w:rPr>
        <w:t xml:space="preserve">The agentic development model is an innovative differentiator: the project is built to evolve with AI assistance, which — if governed well — could accelerate hardening significantly. The TDD-first mandate for agents is a good discipline that, if consistently applied, will close test coverage gaps over time.</w:t>
      </w:r>
    </w:p>
    <w:p>
      <w:r>
        <w:rPr>
          <w:sz w:val="10"/>
          <w:szCs w:val="10"/>
        </w:rPr>
        <w:t xml:space="preserve"/>
      </w:r>
    </w:p>
    <w:p>
      <w:pPr>
        <w:spacing w:after="80" w:before="80"/>
      </w:pPr>
      <w:r>
        <w:rPr>
          <w:rFonts w:ascii="Arial" w:cs="Arial" w:eastAsia="Arial" w:hAnsi="Arial"/>
          <w:color w:val="1A1A2E"/>
          <w:sz w:val="22"/>
          <w:szCs w:val="22"/>
        </w:rPr>
        <w:t xml:space="preserve">EduBoost SA has the right building blocks. The next 90 days will determine whether those blocks get assembled into a production-ready platform that can genuinely serve South African learners.</w:t>
      </w:r>
    </w:p>
    <w:p>
      <w:r>
        <w:rPr>
          <w:sz w:val="10"/>
          <w:szCs w:val="10"/>
        </w:rPr>
        <w:t xml:space="preserve"/>
      </w:r>
    </w:p>
    <w:p>
      <w:pPr>
        <w:pBdr>
          <w:top w:val="single" w:color="1A56A0" w:sz="6" w:space="4"/>
          <w:bottom w:val="single" w:color="1A56A0" w:sz="6" w:space="4"/>
        </w:pBdr>
        <w:spacing w:after="240" w:before="240"/>
      </w:pPr>
      <w:r>
        <w:rPr>
          <w:rFonts w:ascii="Arial" w:cs="Arial" w:eastAsia="Arial" w:hAnsi="Arial"/>
          <w:i/>
          <w:iCs/>
          <w:color w:val="3D4660"/>
          <w:sz w:val="22"/>
          <w:szCs w:val="22"/>
        </w:rPr>
        <w:t xml:space="preserve">Built with Ubuntu — </w:t>
      </w:r>
      <w:r>
        <w:rPr>
          <w:rFonts w:ascii="Arial" w:cs="Arial" w:eastAsia="Arial" w:hAnsi="Arial"/>
          <w:b/>
          <w:bCs/>
          <w:i/>
          <w:iCs/>
          <w:color w:val="1A56A0"/>
          <w:sz w:val="22"/>
          <w:szCs w:val="22"/>
        </w:rPr>
        <w:t xml:space="preserve">"I am because we are."</w:t>
      </w:r>
      <w:r>
        <w:rPr>
          <w:rFonts w:ascii="Arial" w:cs="Arial" w:eastAsia="Arial" w:hAnsi="Arial"/>
          <w:i/>
          <w:iCs/>
          <w:color w:val="3D4660"/>
          <w:sz w:val="22"/>
          <w:szCs w:val="22"/>
        </w:rPr>
        <w:t xml:space="preserve">  Every South African child deserves access to quality, personalised education.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6" w:space="4"/>
      </w:pBdr>
      <w:tabs>
        <w:tab w:val="right" w:pos="9360"/>
      </w:tabs>
    </w:pPr>
    <w:r>
      <w:rPr>
        <w:rFonts w:ascii="Arial" w:cs="Arial" w:eastAsia="Arial" w:hAnsi="Arial"/>
        <w:color w:val="3D4660"/>
        <w:sz w:val="16"/>
        <w:szCs w:val="16"/>
      </w:rPr>
      <w:t xml:space="preserve">Confidential — Internal Use</w:t>
    </w:r>
    <w:r>
      <w:rPr>
        <w:rFonts w:ascii="Arial" w:cs="Arial" w:eastAsia="Arial" w:hAnsi="Arial"/>
        <w:color w:val="3D466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4"/>
      </w:pBdr>
    </w:pPr>
    <w:r>
      <w:rPr>
        <w:rFonts w:ascii="Arial" w:cs="Arial" w:eastAsia="Arial" w:hAnsi="Arial"/>
        <w:color w:val="3D4660"/>
        <w:sz w:val="18"/>
        <w:szCs w:val="18"/>
      </w:rPr>
      <w:t xml:space="preserve">EduBoost SA — State of System Report</w:t>
    </w:r>
    <w:r>
      <w:rPr>
        <w:rFonts w:ascii="Arial" w:cs="Arial" w:eastAsia="Arial" w:hAnsi="Arial"/>
        <w:color w:val="D0D5DE"/>
        <w:sz w:val="18"/>
        <w:szCs w:val="18"/>
      </w:rPr>
      <w:t xml:space="preserve">   |   29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B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6A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D46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2026-04-29T18:52:25.376Z</dcterms:created>
  <dcterms:modified xsi:type="dcterms:W3CDTF">2026-04-29T18:52:25.378Z</dcterms:modified>
</cp:coreProperties>
</file>

<file path=docProps/custom.xml><?xml version="1.0" encoding="utf-8"?>
<Properties xmlns="http://schemas.openxmlformats.org/officeDocument/2006/custom-properties" xmlns:vt="http://schemas.openxmlformats.org/officeDocument/2006/docPropsVTypes"/>
</file>