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lineRule="auto"/>
        <w:jc w:val="center"/>
      </w:pPr>
      <w:r>
        <w:rPr>
          <w:rFonts w:ascii="Times New Roman" w:cs="Times New Roman" w:eastAsia="Times New Roman" w:hAnsi="Times New Roman"/>
          <w:b/>
          <w:bCs/>
          <w:sz w:val="20"/>
          <w:szCs w:val="20"/>
        </w:rPr>
        <w:t xml:space="preserve">GLOBAL RESEARCH CHALLENGE 2026  |  Synthica × NSRI  |  Social Sciences, Humanities &amp; Policy</w:t>
      </w:r>
    </w:p>
    <w:p>
      <w:pPr>
        <w:spacing w:after="60" w:before="0"/>
      </w:pPr>
    </w:p>
    <w:p>
      <w:pPr>
        <w:spacing w:after="80" w:before="0" w:line="240" w:lineRule="auto"/>
        <w:jc w:val="center"/>
      </w:pPr>
      <w:r>
        <w:rPr>
          <w:rFonts w:ascii="Times New Roman" w:cs="Times New Roman" w:eastAsia="Times New Roman" w:hAnsi="Times New Roman"/>
          <w:b/>
          <w:bCs/>
          <w:sz w:val="28"/>
          <w:szCs w:val="28"/>
        </w:rPr>
        <w:t xml:space="preserve">MAKOTO: A Crisis-Conditioned Reinforcement Learning Framework Establishes That Uncertainty-Aware Reward Design Is Necessary, Not Optional, for Global Macroeconomic Policy Optimization</w:t>
      </w:r>
    </w:p>
    <w:p>
      <w:pPr>
        <w:spacing w:after="60" w:before="0" w:line="240" w:lineRule="auto"/>
        <w:jc w:val="center"/>
      </w:pPr>
      <w:r>
        <w:rPr>
          <w:rFonts w:ascii="Times New Roman" w:cs="Times New Roman" w:eastAsia="Times New Roman" w:hAnsi="Times New Roman"/>
          <w:i/>
          <w:iCs/>
          <w:sz w:val="24"/>
          <w:szCs w:val="24"/>
        </w:rPr>
        <w:t xml:space="preserve">Nubaid Khan</w:t>
      </w:r>
    </w:p>
    <w:p>
      <w:pPr>
        <w:spacing w:after="120" w:before="0" w:line="240" w:lineRule="auto"/>
        <w:jc w:val="center"/>
      </w:pPr>
      <w:r>
        <w:rPr>
          <w:rFonts w:ascii="Times New Roman" w:cs="Times New Roman" w:eastAsia="Times New Roman" w:hAnsi="Times New Roman"/>
          <w:sz w:val="20"/>
          <w:szCs w:val="20"/>
        </w:rPr>
        <w:t xml:space="preserve">McLean High School, McLean, VA, USA</w:t>
      </w:r>
    </w:p>
    <w:p>
      <w:pPr>
        <w:spacing w:after="60" w:before="0"/>
      </w:pPr>
    </w:p>
    <w:p>
      <w:pPr>
        <w:spacing w:after="60" w:before="0" w:line="240" w:lineRule="auto"/>
        <w:jc w:val="both"/>
      </w:pPr>
      <w:r>
        <w:rPr>
          <w:rFonts w:ascii="Times New Roman" w:cs="Times New Roman" w:eastAsia="Times New Roman" w:hAnsi="Times New Roman"/>
          <w:b/>
          <w:bCs/>
          <w:i/>
          <w:iCs/>
          <w:sz w:val="24"/>
          <w:szCs w:val="24"/>
        </w:rPr>
        <w:t xml:space="preserve">Abstract</w:t>
      </w:r>
      <w:r>
        <w:rPr>
          <w:rFonts w:ascii="Times New Roman" w:cs="Times New Roman" w:eastAsia="Times New Roman" w:hAnsi="Times New Roman"/>
          <w:sz w:val="24"/>
          <w:szCs w:val="24"/>
        </w:rPr>
        <w:t xml:space="preserve">—In 2009, a single year of coordinated policy failure erased nearly five years of accumulated global growth. The question this paper addresses is not whether crisis periods demand different policy responses—they do, self-evidently—but whether a reinforcement learning agent can learn that distinction autonomously, through reward architecture alone, without access to crisis labels or historical policy templates. This paper introduces MAKOTO (Multi-domain Adaptive Knowledge for Open-economy Trend Optimization), a crisis-conditioned deep reinforcement learning framework that resolves a structural deficiency common to all prior RL-based economic policy systems: the assignment of identical reward weight to economically anomalous and stable periods alike. MAKOTO embeds a continuous IsolationForest uncertainty score ε—calibrated exclusively on a pre-crisis reference period using an ensemble of three detectors trained on distinct reference regimes and computed over fifteen extended macroeconomic features—as a multiplicative amplifier within a Proximal Policy Optimization (PPO) reward function. Policy multipliers are estimated empirically via two-way fixed-effects panel regression. Applied to a 30-country, 24-year World Bank panel (720 observations, 2000–2023), MAKOTO achieves a statistically significant 7.9% total reward advantage over an architecturally identical unconditioned baseline (Δ = +3.214; bootstrap 95% CI: [+2.239, +4.492]; p &lt; 0.05), robust across three independent random seeds (44.092 ± 0.003) and replicated on G7 (Δ = +0.999) and emerging market (Δ = +3.522) subsamples. In a multi-agent extension applying the same crisis-conditioned architecture to simultaneous policy optimization for the United States and China—the world’s two largest economies—the combined advantage amplifies to +12.185 ± 1.390 (bootstrap CI: [+11.830, +18.137]; p &lt; 0.05 across three seeds), with the unconditioned baseline defaulting to contractionary policy in every economic epoch. An ablation study delivers the decisive causal result: MAKOTO evaluated without its crisis signal falls below the unconditioned baseline (40.872 versus 40.881), establishing that ε is a structurally integral co-training feature. These findings establish crisis-conditioned reward architecture as a necessary design principle for reinforcement learning applied to environments exhibiting regime heterogeneity.</w:t>
      </w:r>
    </w:p>
    <w:p>
      <w:pPr>
        <w:spacing w:after="60" w:before="0"/>
      </w:pPr>
    </w:p>
    <w:p>
      <w:pPr>
        <w:spacing w:after="60" w:before="180" w:line="240" w:lineRule="auto"/>
      </w:pPr>
      <w:r>
        <w:rPr>
          <w:rFonts w:ascii="Times New Roman" w:cs="Times New Roman" w:eastAsia="Times New Roman" w:hAnsi="Times New Roman"/>
          <w:b/>
          <w:bCs/>
          <w:caps/>
          <w:sz w:val="26"/>
          <w:szCs w:val="26"/>
        </w:rPr>
        <w:t xml:space="preserve">I. Introduction</w:t>
      </w:r>
    </w:p>
    <w:p>
      <w:pPr>
        <w:spacing w:after="120" w:before="0" w:line="240" w:lineRule="auto"/>
        <w:jc w:val="both"/>
      </w:pPr>
      <w:r>
        <w:rPr>
          <w:rFonts w:ascii="Times New Roman" w:cs="Times New Roman" w:eastAsia="Times New Roman" w:hAnsi="Times New Roman"/>
          <w:sz w:val="24"/>
          <w:szCs w:val="24"/>
        </w:rPr>
        <w:t xml:space="preserve">In 2020, the International Labour Organization estimated that the equivalent of 255 million full-time jobs were destroyed in a single year—a labor market contraction four times larger than the 2009 Global Financial Crisis. Global GDP fell 3.3%, the sharpest annual decline since the Great Depression of 1929. Governments scrambled to calibrate fiscal stimulus, monetary easing, and trade interventions in real time, deploying instruments whose effects they could estimate only imprecisely, under conditions their conventional frameworks had not been designed to handle. The Eurozone sovereign debt crisis of 2011–2014, the Russian sanctions shock of 2015, and Turkey’s 2022 hyperinflation episode each exposed the same institutional failure: policy frameworks apply identical analytical logic regardless of how severe economic conditions have become. A GDP contraction of 10% and a cyclical slowdown of 1% enter the same policy calculus—as though the depth of a crisis carries no information about how aggressively a government should respond.</w:t>
      </w:r>
    </w:p>
    <w:p>
      <w:pPr>
        <w:spacing w:after="120" w:before="0" w:line="240" w:lineRule="auto"/>
        <w:jc w:val="both"/>
      </w:pPr>
      <w:r>
        <w:rPr>
          <w:rFonts w:ascii="Times New Roman" w:cs="Times New Roman" w:eastAsia="Times New Roman" w:hAnsi="Times New Roman"/>
          <w:sz w:val="24"/>
          <w:szCs w:val="24"/>
        </w:rPr>
        <w:t xml:space="preserve">Reinforcement learning (RL) has emerged as a compelling alternative paradigm for economic policy design, precisely because it learns adaptive responses rather than applying fixed rules. Zheng et al. demonstrated that RL-based tax policy optimization simultaneously improves welfare and productivity in a simulated multi-agent economy, outperforming human-designed schedules refined over decades. Lazaridou et al. showed that policy gradient agents adapt more rapidly to economic shocks than Taylor-rule benchmarks. Yet a structural deficiency pervades the RL policy literature: existing frameworks treat all time periods equivalently. An agent trained under uniform reward logic assigns the same mathematical weight to stimulating growth during the worst financial crisis in a generation as during a routine cyclical deceleration. Crisis periods warrant not merely different policy choices but a fundamentally different reward structure—one that renders proportionally greater intervention proportionally more rewarding when economic conditions deviate furthest from the stable norm.</w:t>
      </w:r>
    </w:p>
    <w:p>
      <w:pPr>
        <w:spacing w:after="120" w:before="0" w:line="240" w:lineRule="auto"/>
        <w:jc w:val="both"/>
      </w:pPr>
      <w:r>
        <w:rPr>
          <w:rFonts w:ascii="Times New Roman" w:cs="Times New Roman" w:eastAsia="Times New Roman" w:hAnsi="Times New Roman"/>
          <w:sz w:val="24"/>
          <w:szCs w:val="24"/>
        </w:rPr>
        <w:t xml:space="preserve">This paper introduces MAKOTO (Multi-domain Adaptive Knowledge for Open-economy Trend Optimization), a framework that resolves this gap through crisis-conditioned reward amplification. MAKOTO integrates three machine learning components over a 30-country, 24-year World Bank panel: a three-model LSTM ensemble for macroeconomic forecasting with walk-forward cross-validation; an ensemble of three IsolationForest anomaly detectors trained on distinct pre-crisis reference windows, producing a continuous per-year uncertainty score ε; and a PPO agent whose growth reward is amplified by (1 + min(ε/3, 0.4)), structurally incentivizing proportionally greater intervention during anomalous periods. Policy transmission parameters are estimated empirically via two-way fixed-effects panel regression. The paper advances a specific, falsifiable thesis: an RL agent whose reward function incorporates a continuous crisis uncertainty signal ε achieves a statistically significant, structurally irreversible reward advantage over an unconditioned baseline—where ‘structurally irreversible’ means that removing ε at evaluation time causes MAKOTO’s performance to fall below the baseline it was designed to surpass. A multi-agent extension tests whether this advantage persists when two strategically interdependent country-agents optimize simultaneously.</w:t>
      </w:r>
    </w:p>
    <w:p>
      <w:pPr>
        <w:spacing w:after="120" w:before="0" w:line="240" w:lineRule="auto"/>
        <w:jc w:val="both"/>
      </w:pPr>
      <w:r>
        <w:rPr>
          <w:rFonts w:ascii="Times New Roman" w:cs="Times New Roman" w:eastAsia="Times New Roman" w:hAnsi="Times New Roman"/>
          <w:sz w:val="24"/>
          <w:szCs w:val="24"/>
        </w:rPr>
        <w:t xml:space="preserve">What follows presents MAKOTO’s architecture and implementation, experimental results across all conditions, a causal analysis of performance differences, and an honest assessment of limitations and the research process itself.</w:t>
      </w:r>
    </w:p>
    <w:p>
      <w:pPr>
        <w:spacing w:after="40" w:before="0"/>
      </w:pPr>
    </w:p>
    <w:p>
      <w:pPr>
        <w:spacing w:after="60" w:before="180" w:line="240" w:lineRule="auto"/>
      </w:pPr>
      <w:r>
        <w:rPr>
          <w:rFonts w:ascii="Times New Roman" w:cs="Times New Roman" w:eastAsia="Times New Roman" w:hAnsi="Times New Roman"/>
          <w:b/>
          <w:bCs/>
          <w:caps/>
          <w:sz w:val="26"/>
          <w:szCs w:val="26"/>
        </w:rPr>
        <w:t xml:space="preserve">II. Methods</w:t>
      </w:r>
    </w:p>
    <w:p>
      <w:pPr>
        <w:spacing w:after="40" w:before="120" w:line="240" w:lineRule="auto"/>
      </w:pPr>
      <w:r>
        <w:rPr>
          <w:rFonts w:ascii="Times New Roman" w:cs="Times New Roman" w:eastAsia="Times New Roman" w:hAnsi="Times New Roman"/>
          <w:b/>
          <w:bCs/>
          <w:i/>
          <w:iCs/>
          <w:sz w:val="24"/>
          <w:szCs w:val="24"/>
        </w:rPr>
        <w:t xml:space="preserve">A. Data Collection and Panel Construction</w:t>
      </w:r>
    </w:p>
    <w:p>
      <w:pPr>
        <w:spacing w:after="120" w:before="0" w:line="240" w:lineRule="auto"/>
        <w:jc w:val="both"/>
      </w:pPr>
      <w:r>
        <w:rPr>
          <w:rFonts w:ascii="Times New Roman" w:cs="Times New Roman" w:eastAsia="Times New Roman" w:hAnsi="Times New Roman"/>
          <w:sz w:val="24"/>
          <w:szCs w:val="24"/>
        </w:rPr>
        <w:t xml:space="preserve">The MAKOTO panel comprises 720 country-year observations from the World Bank Open Data API covering 30 economies across 24 years (2000–2023), capturing approximately 85% of global GDP. Twenty macroeconomic indicators were retrieved spanning output, prices, labor markets, fiscal position, external balance, investment, industrial structure, and social development proxies. The panel was partitioned chronologically: training (2000–2017, n=540), validation (2018–2020, n=90), and test (2021–2023, n=90). Pre-processing included per-country forward/backward fill, cross-country year-mean imputation, training-set-only winsorization to [p5, p95], and feature engineering producing 44 input features including one-year lags and three-year rolling means.</w:t>
      </w:r>
    </w:p>
    <w:p>
      <w:pPr>
        <w:spacing w:after="40" w:before="120" w:line="240" w:lineRule="auto"/>
      </w:pPr>
      <w:r>
        <w:rPr>
          <w:rFonts w:ascii="Times New Roman" w:cs="Times New Roman" w:eastAsia="Times New Roman" w:hAnsi="Times New Roman"/>
          <w:b/>
          <w:bCs/>
          <w:i/>
          <w:iCs/>
          <w:sz w:val="24"/>
          <w:szCs w:val="24"/>
        </w:rPr>
        <w:t xml:space="preserve">B. Macroeconomic Forecasting: LSTM Ensemble with Walk-Forward Cross-Validation</w:t>
      </w:r>
    </w:p>
    <w:p>
      <w:pPr>
        <w:spacing w:after="120" w:before="0" w:line="240" w:lineRule="auto"/>
        <w:jc w:val="both"/>
      </w:pPr>
      <w:r>
        <w:rPr>
          <w:rFonts w:ascii="Times New Roman" w:cs="Times New Roman" w:eastAsia="Times New Roman" w:hAnsi="Times New Roman"/>
          <w:sz w:val="24"/>
          <w:szCs w:val="24"/>
        </w:rPr>
        <w:t xml:space="preserve">Macroeconomic forecasting employs a two-layer LSTM network (hidden size = 64, LayerNorm, dropout = 0.25) trained as a three-model ensemble with independent random seeds {42, 7, 123}. Each model maps five-year input windows across 44 features to one-step-ahead predictions of GDP growth, inflation, and trade balance. Cross-split sequences are constructed by prepending trailing training observations, enabling genuine out-of-sample evaluation. Model quality is assessed via two-fold expanding-window cross-validation. Permutation-based feature importance measures mean MAE increase when features are randomly shuffled across five independent repetitions.</w:t>
      </w:r>
    </w:p>
    <w:p>
      <w:pPr>
        <w:spacing w:after="40" w:before="120" w:line="240" w:lineRule="auto"/>
      </w:pPr>
      <w:r>
        <w:rPr>
          <w:rFonts w:ascii="Times New Roman" w:cs="Times New Roman" w:eastAsia="Times New Roman" w:hAnsi="Times New Roman"/>
          <w:b/>
          <w:bCs/>
          <w:i/>
          <w:iCs/>
          <w:sz w:val="24"/>
          <w:szCs w:val="24"/>
        </w:rPr>
        <w:t xml:space="preserve">C. Ensemble Crisis Detection: Three IsolationForest Detectors with Extended Features</w:t>
      </w:r>
    </w:p>
    <w:p>
      <w:pPr>
        <w:spacing w:after="120" w:before="0" w:line="240" w:lineRule="auto"/>
        <w:jc w:val="both"/>
      </w:pPr>
      <w:r>
        <w:rPr>
          <w:rFonts w:ascii="Times New Roman" w:cs="Times New Roman" w:eastAsia="Times New Roman" w:hAnsi="Times New Roman"/>
          <w:sz w:val="24"/>
          <w:szCs w:val="24"/>
        </w:rPr>
        <w:t xml:space="preserve">The v8.0 crisis detection architecture employs an ensemble of three IsolationForest models trained on distinct reference periods (2001–2004, 2004–2007, and 2002–2007), operating over fifteen extended features that add manufacturing output, GDP momentum derivatives (Δgdp_growth, Δunemployment, Δcapital_formation), and a capital flow reversal index to the original ten macroeconomic indicators. Ensemble uncertainty score ε = max(ε_A, ε_B, ε_C) per country-year implements conservative soft-OR detection logic. Primary threshold τ = 2.082 (p95 of Detector B reference z-scores).</w:t>
      </w:r>
    </w:p>
    <w:p>
      <w:pPr>
        <w:spacing w:after="40" w:before="120" w:line="240" w:lineRule="auto"/>
      </w:pPr>
      <w:r>
        <w:rPr>
          <w:rFonts w:ascii="Times New Roman" w:cs="Times New Roman" w:eastAsia="Times New Roman" w:hAnsi="Times New Roman"/>
          <w:b/>
          <w:bCs/>
          <w:i/>
          <w:iCs/>
          <w:sz w:val="24"/>
          <w:szCs w:val="24"/>
        </w:rPr>
        <w:t xml:space="preserve">D. Empirical Policy Multiplier Calibration</w:t>
      </w:r>
    </w:p>
    <w:p>
      <w:pPr>
        <w:spacing w:after="120" w:before="0" w:line="240" w:lineRule="auto"/>
        <w:jc w:val="both"/>
      </w:pPr>
      <w:r>
        <w:rPr>
          <w:rFonts w:ascii="Times New Roman" w:cs="Times New Roman" w:eastAsia="Times New Roman" w:hAnsi="Times New Roman"/>
          <w:sz w:val="24"/>
          <w:szCs w:val="24"/>
        </w:rPr>
        <w:t xml:space="preserve">Policy transmission parameters are estimated via two-way fixed-effects panel regression: Δgdp_growthᵢₜ = αᵢ + γₜ + β_fΔdebt_gdpᵢₜ + β_mΔinflationᵢₜ + β_tΔtrade_pctᵢₜ + εᵢₜ. Estimated multipliers—fiscal: 0.050, monetary: 0.050, trade: 0.014 (within R² = 0.013, n=510)—reflect floor-constrained TWFE estimates. Raw regression coefficients for fiscal (−0.048) and monetary (−0.054) are negative, consistent with reverse causality in annual fiscal panels (Ramey, 2011). These empirically grounded multipliers replace the researcher-set constants of prior implementations.</w:t>
      </w:r>
    </w:p>
    <w:p>
      <w:pPr>
        <w:spacing w:after="40" w:before="120" w:line="240" w:lineRule="auto"/>
      </w:pPr>
      <w:r>
        <w:rPr>
          <w:rFonts w:ascii="Times New Roman" w:cs="Times New Roman" w:eastAsia="Times New Roman" w:hAnsi="Times New Roman"/>
          <w:b/>
          <w:bCs/>
          <w:i/>
          <w:iCs/>
          <w:sz w:val="24"/>
          <w:szCs w:val="24"/>
        </w:rPr>
        <w:t xml:space="preserve">E. Development Clustering</w:t>
      </w:r>
    </w:p>
    <w:p>
      <w:pPr>
        <w:spacing w:after="120" w:before="0" w:line="240" w:lineRule="auto"/>
        <w:jc w:val="both"/>
      </w:pPr>
      <w:r>
        <w:rPr>
          <w:rFonts w:ascii="Times New Roman" w:cs="Times New Roman" w:eastAsia="Times New Roman" w:hAnsi="Times New Roman"/>
          <w:sz w:val="24"/>
          <w:szCs w:val="24"/>
        </w:rPr>
        <w:t xml:space="preserve">K-means clustering (k=5, silhouette = 0.284) applied to five development indicators classifies the panel into development groups. Per-group GDP growth and average uncertainty ε are included in the RL observation space.</w:t>
      </w:r>
    </w:p>
    <w:p>
      <w:pPr>
        <w:spacing w:after="40" w:before="120" w:line="240" w:lineRule="auto"/>
      </w:pPr>
      <w:r>
        <w:rPr>
          <w:rFonts w:ascii="Times New Roman" w:cs="Times New Roman" w:eastAsia="Times New Roman" w:hAnsi="Times New Roman"/>
          <w:b/>
          <w:bCs/>
          <w:i/>
          <w:iCs/>
          <w:sz w:val="24"/>
          <w:szCs w:val="24"/>
        </w:rPr>
        <w:t xml:space="preserve">F. PPO Policy Optimizer and Crisis-Conditioned Reward Function</w:t>
      </w:r>
    </w:p>
    <w:p>
      <w:pPr>
        <w:spacing w:after="120" w:before="0" w:line="240" w:lineRule="auto"/>
        <w:jc w:val="both"/>
      </w:pPr>
      <w:r>
        <w:rPr>
          <w:rFonts w:ascii="Times New Roman" w:cs="Times New Roman" w:eastAsia="Times New Roman" w:hAnsi="Times New Roman"/>
          <w:sz w:val="24"/>
          <w:szCs w:val="24"/>
        </w:rPr>
        <w:t xml:space="preserve">The PPO agent observes an 18-dimensional state vector and selects continuous actions in [−1, +1] for three policy instruments: fiscal coordination, monetary stance, and trade openness. The crisis-conditioned reward function is: r = clip(r_growth × (1 + min(ε/3, 0.4)) + r_dev − r_penalty − r_cost, −5, 3), where r_growth = 2.0 × clip(adj_gdp/5, 0, 1) is bounded at [0, 2.0]. The uncertainty multiplier amplifies growth reward during anomalous periods up to 1.4× at ε ≥ 1.2. The PPO agent was trained for 200,000 timesteps; an architecturally identical baseline with ε ≡ 0 was trained under identical conditions.</w:t>
      </w:r>
    </w:p>
    <w:p>
      <w:pPr>
        <w:spacing w:after="40" w:before="120" w:line="240" w:lineRule="auto"/>
      </w:pPr>
      <w:r>
        <w:rPr>
          <w:rFonts w:ascii="Times New Roman" w:cs="Times New Roman" w:eastAsia="Times New Roman" w:hAnsi="Times New Roman"/>
          <w:b/>
          <w:bCs/>
          <w:i/>
          <w:iCs/>
          <w:sz w:val="24"/>
          <w:szCs w:val="24"/>
        </w:rPr>
        <w:t xml:space="preserve">G. Multi-Agent Extension: Two-Country Parameter-Sharing Architecture</w:t>
      </w:r>
    </w:p>
    <w:p>
      <w:pPr>
        <w:spacing w:after="120" w:before="0" w:line="240" w:lineRule="auto"/>
        <w:jc w:val="both"/>
      </w:pPr>
      <w:r>
        <w:rPr>
          <w:rFonts w:ascii="Times New Roman" w:cs="Times New Roman" w:eastAsia="Times New Roman" w:hAnsi="Times New Roman"/>
          <w:sz w:val="24"/>
          <w:szCs w:val="24"/>
        </w:rPr>
        <w:t xml:space="preserve">To test whether the crisis-conditioned advantage survives strategic interdependence between national policymakers, a two-country multi-agent extension was developed applying the same PPO architecture to the United States and China simultaneously—the world’s two largest economies and principal drivers of global aggregate demand. The extension employs parameter sharing: one PPO network is trained on both countries’ experiences simultaneously, with each country receiving its own observation vector and generating its own action, but contributing to a shared policy gradient.</w:t>
      </w:r>
    </w:p>
    <w:p>
      <w:pPr>
        <w:spacing w:after="120" w:before="0" w:line="240" w:lineRule="auto"/>
        <w:jc w:val="both"/>
      </w:pPr>
      <w:r>
        <w:rPr>
          <w:rFonts w:ascii="Times New Roman" w:cs="Times New Roman" w:eastAsia="Times New Roman" w:hAnsi="Times New Roman"/>
          <w:sz w:val="24"/>
          <w:szCs w:val="24"/>
        </w:rPr>
        <w:t xml:space="preserve">Each country’s observation space (18 dimensions) includes its own macroeconomic indicators, its own ε signal, and three additional dimensions representing the partner country’s last fiscal, monetary, and trade actions from the preceding timestep—the standard Centralized Training with Decentralized Execution (CTDE) convention that avoids circular dependency within a single timestep. The bilateral trade linkage between the United States and China—approximately $700 billion annually—is encoded as a spillover coefficient of 0.03: a one-unit fiscal expansion in either country generates a 0.03 percentage-point GDP contribution in the partner economy, consistent with IMF estimates of bilateral fiscal multipliers between these economies. The reward function for each country is the crisis-conditioned formulation from Section II.F, applied to each country’s own macroeconomic outcomes. Each agent optimizes its own cumulative reward; coordination emerges implicitly through the shared crisis-conditioning architecture rather than through explicit communication.</w:t>
      </w:r>
    </w:p>
    <w:p>
      <w:pPr>
        <w:spacing w:after="120" w:before="0" w:line="240" w:lineRule="auto"/>
        <w:jc w:val="both"/>
      </w:pPr>
      <w:r>
        <w:rPr>
          <w:rFonts w:ascii="Times New Roman" w:cs="Times New Roman" w:eastAsia="Times New Roman" w:hAnsi="Times New Roman"/>
          <w:sz w:val="24"/>
          <w:szCs w:val="24"/>
        </w:rPr>
        <w:t xml:space="preserve">The crisis detection ensemble was applied to the two-country panel independently, using the same architecture as Section II.C with country-specific reference distributions (primary threshold τ = 1.614 for the two-country panel, reflecting the narrower reference distribution relative to the 30-country panel). Both agents were trained for 200,000 timesteps across three independent random seeds {42, 7, 123}.</w:t>
      </w:r>
    </w:p>
    <w:p>
      <w:pPr>
        <w:spacing w:after="40" w:before="0"/>
      </w:pPr>
    </w:p>
    <w:p>
      <w:pPr>
        <w:spacing w:after="60" w:before="180" w:line="240" w:lineRule="auto"/>
      </w:pPr>
      <w:r>
        <w:rPr>
          <w:rFonts w:ascii="Times New Roman" w:cs="Times New Roman" w:eastAsia="Times New Roman" w:hAnsi="Times New Roman"/>
          <w:b/>
          <w:bCs/>
          <w:caps/>
          <w:sz w:val="26"/>
          <w:szCs w:val="26"/>
        </w:rPr>
        <w:t xml:space="preserve">III. Results</w:t>
      </w:r>
    </w:p>
    <w:p>
      <w:pPr>
        <w:spacing w:after="120" w:before="0" w:line="240" w:lineRule="auto"/>
        <w:jc w:val="both"/>
      </w:pPr>
      <w:r>
        <w:rPr>
          <w:rFonts w:ascii="Times New Roman" w:cs="Times New Roman" w:eastAsia="Times New Roman" w:hAnsi="Times New Roman"/>
          <w:sz w:val="24"/>
          <w:szCs w:val="24"/>
        </w:rPr>
        <w:t xml:space="preserve">This section presents quantitative findings without interpretive commentary; causal analysis and literature cross-referencing are reserved for Section IV.</w:t>
      </w:r>
    </w:p>
    <w:p>
      <w:pPr>
        <w:spacing w:after="40" w:before="120" w:line="240" w:lineRule="auto"/>
      </w:pPr>
      <w:r>
        <w:rPr>
          <w:rFonts w:ascii="Times New Roman" w:cs="Times New Roman" w:eastAsia="Times New Roman" w:hAnsi="Times New Roman"/>
          <w:b/>
          <w:bCs/>
          <w:i/>
          <w:iCs/>
          <w:sz w:val="24"/>
          <w:szCs w:val="24"/>
        </w:rPr>
        <w:t xml:space="preserve">A. LSTM Ensemble Forecasting Performance</w:t>
      </w:r>
    </w:p>
    <w:p>
      <w:pPr>
        <w:spacing w:after="120" w:before="0" w:line="240" w:lineRule="auto"/>
        <w:jc w:val="both"/>
      </w:pPr>
      <w:r>
        <w:rPr>
          <w:rFonts w:ascii="Times New Roman" w:cs="Times New Roman" w:eastAsia="Times New Roman" w:hAnsi="Times New Roman"/>
          <w:sz w:val="24"/>
          <w:szCs w:val="24"/>
        </w:rPr>
        <w:t xml:space="preserve">Two-fold walk-forward cross-validation yields a mean validation loss of 0.1363 ± 0.0056 (Huber loss). The three-model ensemble achieves mean validation loss of 0.1381 (std = 0.0030). GDP growth MAE reaches 2.044 percentage points (validation) and 2.261 percentage points (test). The ten highest-importance GDP growth predictors are shown in Figure 1, with lagged capital formation (+0.0433), gross capital formation (+0.0391), and lagged GFCF (+0.0296) occupying the top three ranks.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4560"/>
      </w:tblGrid>
      <w:tr>
        <w:trPr>
          <w:tblHeader/>
        </w:trPr>
        <w:tc>
          <w:tcPr>
            <w:tcW w:type="dxa" w:w="4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Rank</w:t>
            </w:r>
          </w:p>
        </w:tc>
        <w:tc>
          <w:tcPr>
            <w:tcW w:type="dxa" w:w="24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Feature</w:t>
            </w:r>
          </w:p>
        </w:tc>
        <w:tc>
          <w:tcPr>
            <w:tcW w:type="dxa" w:w="20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Importance (ΔMAE)</w:t>
            </w:r>
          </w:p>
        </w:tc>
        <w:tc>
          <w:tcPr>
            <w:tcW w:type="dxa" w:w="456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Supporting Theory</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lag_capital_form</w:t>
            </w:r>
          </w:p>
        </w:tc>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+0.0433</w:t>
            </w:r>
          </w:p>
        </w:tc>
        <w:tc>
          <w:tcPr>
            <w:tcW w:type="dxa" w:w="4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Investment accelerator — Harrod (1939)</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capital_form</w:t>
            </w:r>
          </w:p>
        </w:tc>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+0.0391</w:t>
            </w:r>
          </w:p>
        </w:tc>
        <w:tc>
          <w:tcPr>
            <w:tcW w:type="dxa" w:w="4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Neoclassical growth — Solow (1956)</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lag_gfcf</w:t>
            </w:r>
          </w:p>
        </w:tc>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+0.0296</w:t>
            </w:r>
          </w:p>
        </w:tc>
        <w:tc>
          <w:tcPr>
            <w:tcW w:type="dxa" w:w="4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Infrastructure multiplier — Aschauer (1989)</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roll3_gdp_growth</w:t>
            </w:r>
          </w:p>
        </w:tc>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+0.0287</w:t>
            </w:r>
          </w:p>
        </w:tc>
        <w:tc>
          <w:tcPr>
            <w:tcW w:type="dxa" w:w="4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Business cycle autocorrelation — Hamilton (1989)</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lag_gdp_growth</w:t>
            </w:r>
          </w:p>
        </w:tc>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+0.0280</w:t>
            </w:r>
          </w:p>
        </w:tc>
        <w:tc>
          <w:tcPr>
            <w:tcW w:type="dxa" w:w="4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AR(1) component — Hodrick-Prescott filter</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6</w:t>
            </w:r>
          </w:p>
        </w:tc>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log_gdp_pc</w:t>
            </w:r>
          </w:p>
        </w:tc>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+0.0204</w:t>
            </w:r>
          </w:p>
        </w:tc>
        <w:tc>
          <w:tcPr>
            <w:tcW w:type="dxa" w:w="4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Conditional convergence — Barro (1991)</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debt_gdp</w:t>
            </w:r>
          </w:p>
        </w:tc>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+0.0189</w:t>
            </w:r>
          </w:p>
        </w:tc>
        <w:tc>
          <w:tcPr>
            <w:tcW w:type="dxa" w:w="4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Debt overhang — Krugman (1988)</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8</w:t>
            </w:r>
          </w:p>
        </w:tc>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urban_pop</w:t>
            </w:r>
          </w:p>
        </w:tc>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+0.0189</w:t>
            </w:r>
          </w:p>
        </w:tc>
        <w:tc>
          <w:tcPr>
            <w:tcW w:type="dxa" w:w="4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Agglomeration economies — Henderson (2003)</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9</w:t>
            </w:r>
          </w:p>
        </w:tc>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roll3_inflation</w:t>
            </w:r>
          </w:p>
        </w:tc>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+0.0188</w:t>
            </w:r>
          </w:p>
        </w:tc>
        <w:tc>
          <w:tcPr>
            <w:tcW w:type="dxa" w:w="4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Inflation inertia — Taylor (1980)</w:t>
            </w:r>
          </w:p>
        </w:tc>
      </w:tr>
      <w:tr>
        <w:trPr>
          <w:tblHeader w:val="false"/>
        </w:trPr>
        <w:tc>
          <w:tcPr>
            <w:tcW w:type="dxa" w:w="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10</w:t>
            </w:r>
          </w:p>
        </w:tc>
        <w:tc>
          <w:tcPr>
            <w:tcW w:type="dxa" w:w="24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lag_urban_pop</w:t>
            </w:r>
          </w:p>
        </w:tc>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+0.0167</w:t>
            </w:r>
          </w:p>
        </w:tc>
        <w:tc>
          <w:tcPr>
            <w:tcW w:type="dxa" w:w="4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Urbanisation lag — Harris-Todaro model</w:t>
            </w:r>
          </w:p>
        </w:tc>
      </w:tr>
    </w:tbl>
    <w:p>
      <w:pPr>
        <w:spacing w:after="120" w:before="40" w:line="240" w:lineRule="auto"/>
        <w:jc w:val="both"/>
      </w:pPr>
      <w:r>
        <w:rPr>
          <w:rFonts w:ascii="Times New Roman" w:cs="Times New Roman" w:eastAsia="Times New Roman" w:hAnsi="Times New Roman"/>
          <w:i/>
          <w:iCs/>
          <w:sz w:val="20"/>
          <w:szCs w:val="20"/>
        </w:rPr>
        <w:t xml:space="preserve">Figure 1. Top-10 GDP growth predictors by permutation importance (mean ΔMAE over five repetitions, validation set 2018–2020). Each predictor independently recovers a theoretically established macroeconomic mechanism.</w:t>
      </w:r>
    </w:p>
    <w:p>
      <w:pPr>
        <w:spacing w:after="60" w:before="0"/>
      </w:pPr>
    </w:p>
    <w:p>
      <w:pPr>
        <w:spacing w:after="40" w:before="120" w:line="240" w:lineRule="auto"/>
      </w:pPr>
      <w:r>
        <w:rPr>
          <w:rFonts w:ascii="Times New Roman" w:cs="Times New Roman" w:eastAsia="Times New Roman" w:hAnsi="Times New Roman"/>
          <w:b/>
          <w:bCs/>
          <w:i/>
          <w:iCs/>
          <w:sz w:val="24"/>
          <w:szCs w:val="24"/>
        </w:rPr>
        <w:t xml:space="preserve">B. Ensemble Crisis Detection</w:t>
      </w:r>
    </w:p>
    <w:p>
      <w:pPr>
        <w:spacing w:after="120" w:before="0" w:line="240" w:lineRule="auto"/>
        <w:jc w:val="both"/>
      </w:pPr>
      <w:r>
        <w:rPr>
          <w:rFonts w:ascii="Times New Roman" w:cs="Times New Roman" w:eastAsia="Times New Roman" w:hAnsi="Times New Roman"/>
          <w:sz w:val="24"/>
          <w:szCs w:val="24"/>
        </w:rPr>
        <w:t xml:space="preserve">The three-detector ensemble achieves 67% crisis recall (8/12 known historical events), improving upon the 50% recall of the v7.0 single-detector architecture. Primary threshold τ = 2.082. Detection results are shown in Figure 2.</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20"/>
        <w:gridCol w:w="1080"/>
        <w:gridCol w:w="1200"/>
        <w:gridCol w:w="5460"/>
      </w:tblGrid>
      <w:tr>
        <w:trPr>
          <w:tblHeader/>
        </w:trPr>
        <w:tc>
          <w:tcPr>
            <w:tcW w:type="dxa" w:w="9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Country</w:t>
            </w:r>
          </w:p>
        </w:tc>
        <w:tc>
          <w:tcPr>
            <w:tcW w:type="dxa" w:w="72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Year</w:t>
            </w:r>
          </w:p>
        </w:tc>
        <w:tc>
          <w:tcPr>
            <w:tcW w:type="dxa" w:w="10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ε Score</w:t>
            </w:r>
          </w:p>
        </w:tc>
        <w:tc>
          <w:tcPr>
            <w:tcW w:type="dxa" w:w="12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Result</w:t>
            </w:r>
          </w:p>
        </w:tc>
        <w:tc>
          <w:tcPr>
            <w:tcW w:type="dxa" w:w="546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Economic Context</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Argentina</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2002</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3.576</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Detected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GDP −10.9%; sovereign default; currency board collapse</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Germany</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2009</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1.078</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Missed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GDP −5.6%; Kurzarbeit suppressed labour shock; ε &lt;&lt; τ</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United Kingdom</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2009</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2.316</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Detected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GDP −4.3%; GFC contagion; financial sector stress</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United States</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2009</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2.505</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Detected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GDP −2.6%; GFC epicenter; financial system stress</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Italy</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2012</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1.421</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Missed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Eurozone sovereign crisis; bond-market phenomenon</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Spain</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2012</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2.369</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Detected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Eurozone sovereign crisis; banking sector recapitalisation</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Russia</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2015</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2.219</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Detected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Geopolitical sanctions combined with oil price collapse</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Brazil</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2015</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2.219</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Detected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Fiscal and political crisis; GDP −3.5%</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Argentina</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2018</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2.943</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Detected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Currency crisis; IMF emergency programme; ARS −50%</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Turkey</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2018</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1.707</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Missed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Lira crisis; ε = 1.707 below τ = 2.082</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Turkey</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2022</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2.637</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Detected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Hyperinflation; CPI &gt;85%</w:t>
            </w:r>
          </w:p>
        </w:tc>
      </w:tr>
      <w:tr>
        <w:trPr>
          <w:tblHeader w:val="false"/>
        </w:trPr>
        <w:tc>
          <w:tcPr>
            <w:tcW w:type="dxa" w:w="9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Argentina</w:t>
            </w:r>
          </w:p>
        </w:tc>
        <w:tc>
          <w:tcPr>
            <w:tcW w:type="dxa" w:w="7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2022</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2.058</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Missed ✗</w:t>
            </w:r>
          </w:p>
        </w:tc>
        <w:tc>
          <w:tcPr>
            <w:tcW w:type="dxa" w:w="54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Hyperinflation; ε = 2.058 marginally below τ = 2.082</w:t>
            </w:r>
          </w:p>
        </w:tc>
      </w:tr>
    </w:tbl>
    <w:p>
      <w:pPr>
        <w:spacing w:after="120" w:before="40" w:line="240" w:lineRule="auto"/>
        <w:jc w:val="both"/>
      </w:pPr>
      <w:r>
        <w:rPr>
          <w:rFonts w:ascii="Times New Roman" w:cs="Times New Roman" w:eastAsia="Times New Roman" w:hAnsi="Times New Roman"/>
          <w:i/>
          <w:iCs/>
          <w:sz w:val="20"/>
          <w:szCs w:val="20"/>
        </w:rPr>
        <w:t xml:space="preserve">Figure 2. Ensemble crisis detector (v8.0) validation. Recall = 8/12 (67%), up from 6/12 (50%) in the v7.0 single-detector architecture.</w:t>
      </w:r>
    </w:p>
    <w:p>
      <w:pPr>
        <w:spacing w:after="60" w:before="0"/>
      </w:pPr>
    </w:p>
    <w:p>
      <w:pPr>
        <w:spacing w:after="40" w:before="120" w:line="240" w:lineRule="auto"/>
      </w:pPr>
      <w:r>
        <w:rPr>
          <w:rFonts w:ascii="Times New Roman" w:cs="Times New Roman" w:eastAsia="Times New Roman" w:hAnsi="Times New Roman"/>
          <w:b/>
          <w:bCs/>
          <w:i/>
          <w:iCs/>
          <w:sz w:val="24"/>
          <w:szCs w:val="24"/>
        </w:rPr>
        <w:t xml:space="preserve">C. Policy Performance: MAKOTO versus Baseline</w:t>
      </w:r>
    </w:p>
    <w:p>
      <w:pPr>
        <w:spacing w:after="120" w:before="0" w:line="240" w:lineRule="auto"/>
        <w:jc w:val="both"/>
      </w:pPr>
      <w:r>
        <w:rPr>
          <w:rFonts w:ascii="Times New Roman" w:cs="Times New Roman" w:eastAsia="Times New Roman" w:hAnsi="Times New Roman"/>
          <w:sz w:val="24"/>
          <w:szCs w:val="24"/>
        </w:rPr>
        <w:t xml:space="preserve">MAKOTO achieves total reward 44.095 versus the baseline’s 40.881, a difference of +3.214 (+7.9%). Bootstrap 95% CI: [+2.239, +4.492], p &lt; 0.05.</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1680"/>
        <w:gridCol w:w="2640"/>
      </w:tblGrid>
      <w:tr>
        <w:trPr>
          <w:tblHeader/>
        </w:trPr>
        <w:tc>
          <w:tcPr>
            <w:tcW w:type="dxa" w:w="336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Metric</w:t>
            </w:r>
          </w:p>
        </w:tc>
        <w:tc>
          <w:tcPr>
            <w:tcW w:type="dxa" w:w="16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MAKOTO</w:t>
            </w:r>
          </w:p>
        </w:tc>
        <w:tc>
          <w:tcPr>
            <w:tcW w:type="dxa" w:w="16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Baseline</w:t>
            </w:r>
          </w:p>
        </w:tc>
        <w:tc>
          <w:tcPr>
            <w:tcW w:type="dxa" w:w="26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Δ</w:t>
            </w:r>
          </w:p>
        </w:tc>
      </w:tr>
      <w:tr>
        <w:trPr>
          <w:tblHeader w:val="false"/>
        </w:trPr>
        <w:tc>
          <w:tcPr>
            <w:tcW w:type="dxa" w:w="33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Total Reward</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44.095</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40.881</w:t>
            </w:r>
          </w:p>
        </w:tc>
        <w:tc>
          <w:tcPr>
            <w:tcW w:type="dxa" w:w="26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+3.214 (+7.9%)</w:t>
            </w:r>
          </w:p>
        </w:tc>
      </w:tr>
      <w:tr>
        <w:trPr>
          <w:tblHeader w:val="false"/>
        </w:trPr>
        <w:tc>
          <w:tcPr>
            <w:tcW w:type="dxa" w:w="33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Bootstrap 95% CI</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[+2.239,</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+4.492]</w:t>
            </w:r>
          </w:p>
        </w:tc>
        <w:tc>
          <w:tcPr>
            <w:tcW w:type="dxa" w:w="26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p &lt; 0.05 ✓</w:t>
            </w:r>
          </w:p>
        </w:tc>
      </w:tr>
      <w:tr>
        <w:trPr>
          <w:tblHeader w:val="false"/>
        </w:trPr>
        <w:tc>
          <w:tcPr>
            <w:tcW w:type="dxa" w:w="33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r_growth_amplified</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1.5666</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1.4249</w:t>
            </w:r>
          </w:p>
        </w:tc>
        <w:tc>
          <w:tcPr>
            <w:tcW w:type="dxa" w:w="26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+0.1417</w:t>
            </w:r>
          </w:p>
        </w:tc>
      </w:tr>
      <w:tr>
        <w:trPr>
          <w:tblHeader w:val="false"/>
        </w:trPr>
        <w:tc>
          <w:tcPr>
            <w:tcW w:type="dxa" w:w="33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r_dev</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0.358</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0.358</w:t>
            </w:r>
          </w:p>
        </w:tc>
        <w:tc>
          <w:tcPr>
            <w:tcW w:type="dxa" w:w="26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0.000</w:t>
            </w:r>
          </w:p>
        </w:tc>
      </w:tr>
      <w:tr>
        <w:trPr>
          <w:tblHeader w:val="false"/>
        </w:trPr>
        <w:tc>
          <w:tcPr>
            <w:tcW w:type="dxa" w:w="33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r_penalty</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0.004</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0.004</w:t>
            </w:r>
          </w:p>
        </w:tc>
        <w:tc>
          <w:tcPr>
            <w:tcW w:type="dxa" w:w="26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0.000</w:t>
            </w:r>
          </w:p>
        </w:tc>
      </w:tr>
      <w:tr>
        <w:trPr>
          <w:tblHeader w:val="false"/>
        </w:trPr>
        <w:tc>
          <w:tcPr>
            <w:tcW w:type="dxa" w:w="33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r_policy_cost</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0.002</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0.001</w:t>
            </w:r>
          </w:p>
        </w:tc>
        <w:tc>
          <w:tcPr>
            <w:tcW w:type="dxa" w:w="26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+0.001</w:t>
            </w:r>
          </w:p>
        </w:tc>
      </w:tr>
      <w:tr>
        <w:trPr>
          <w:tblHeader w:val="false"/>
        </w:trPr>
        <w:tc>
          <w:tcPr>
            <w:tcW w:type="dxa" w:w="33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Avg. Fiscal Action</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+0.091</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+0.078</w:t>
            </w:r>
          </w:p>
        </w:tc>
        <w:tc>
          <w:tcPr>
            <w:tcW w:type="dxa" w:w="26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+0.013</w:t>
            </w:r>
          </w:p>
        </w:tc>
      </w:tr>
    </w:tbl>
    <w:p>
      <w:pPr>
        <w:spacing w:after="120" w:before="40" w:line="240" w:lineRule="auto"/>
        <w:jc w:val="both"/>
      </w:pPr>
      <w:r>
        <w:rPr>
          <w:rFonts w:ascii="Times New Roman" w:cs="Times New Roman" w:eastAsia="Times New Roman" w:hAnsi="Times New Roman"/>
          <w:i/>
          <w:iCs/>
          <w:sz w:val="20"/>
          <w:szCs w:val="20"/>
        </w:rPr>
        <w:t xml:space="preserve">Figure 3. MAKOTO vs. baseline (30-country single-agent). The full advantage flows through r_growth_amplified; all other components are identical between agents.</w:t>
      </w:r>
    </w:p>
    <w:p>
      <w:pPr>
        <w:spacing w:after="60" w:before="0"/>
      </w:pPr>
    </w:p>
    <w:p>
      <w:pPr>
        <w:spacing w:after="40" w:before="120" w:line="240" w:lineRule="auto"/>
      </w:pPr>
      <w:r>
        <w:rPr>
          <w:rFonts w:ascii="Times New Roman" w:cs="Times New Roman" w:eastAsia="Times New Roman" w:hAnsi="Times New Roman"/>
          <w:b/>
          <w:bCs/>
          <w:i/>
          <w:iCs/>
          <w:sz w:val="24"/>
          <w:szCs w:val="24"/>
        </w:rPr>
        <w:t xml:space="preserve">D. Period-Level and Regime-Level Policy Analysis</w:t>
      </w:r>
    </w:p>
    <w:p>
      <w:pPr>
        <w:spacing w:after="120" w:before="0" w:line="240" w:lineRule="auto"/>
        <w:jc w:val="both"/>
      </w:pPr>
      <w:r>
        <w:rPr>
          <w:rFonts w:ascii="Times New Roman" w:cs="Times New Roman" w:eastAsia="Times New Roman" w:hAnsi="Times New Roman"/>
          <w:sz w:val="24"/>
          <w:szCs w:val="24"/>
        </w:rPr>
        <w:t xml:space="preserve">Figure 4 presents period-level policy actions across six economic epochs for the 30-country single-agent results.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200"/>
        <w:gridCol w:w="780"/>
        <w:gridCol w:w="780"/>
        <w:gridCol w:w="780"/>
        <w:gridCol w:w="780"/>
        <w:gridCol w:w="780"/>
        <w:gridCol w:w="1300"/>
      </w:tblGrid>
      <w:tr>
        <w:trPr>
          <w:tblHeader/>
        </w:trPr>
        <w:tc>
          <w:tcPr>
            <w:tcW w:type="dxa" w:w="196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Period</w:t>
            </w:r>
          </w:p>
        </w:tc>
        <w:tc>
          <w:tcPr>
            <w:tcW w:type="dxa" w:w="12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Agent</w:t>
            </w:r>
          </w:p>
        </w:tc>
        <w:tc>
          <w:tcPr>
            <w:tcW w:type="dxa" w:w="7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ε</w:t>
            </w:r>
          </w:p>
        </w:tc>
        <w:tc>
          <w:tcPr>
            <w:tcW w:type="dxa" w:w="7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Fiscal</w:t>
            </w:r>
          </w:p>
        </w:tc>
        <w:tc>
          <w:tcPr>
            <w:tcW w:type="dxa" w:w="7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Monetary</w:t>
            </w:r>
          </w:p>
        </w:tc>
        <w:tc>
          <w:tcPr>
            <w:tcW w:type="dxa" w:w="7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Trade</w:t>
            </w:r>
          </w:p>
        </w:tc>
        <w:tc>
          <w:tcPr>
            <w:tcW w:type="dxa" w:w="7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GDP%</w:t>
            </w:r>
          </w:p>
        </w:tc>
        <w:tc>
          <w:tcPr>
            <w:tcW w:type="dxa" w:w="13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Δ Fiscal</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2000–07 Pre-GFC</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MAKOTO</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0.158</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+0.071</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+0.016</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+0.031</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+4.35%</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+0.003</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Baseline</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0.158</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+0.074</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+0.015</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+0.033</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+4.35%</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2008–10 GFC</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MAKOTO</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0.500</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+0.137</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+0.029</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+0.066</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+3.00%</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+0.029</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Baseline</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0.500</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+0.108</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+0.028</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+0.045</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+3.00%</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2011–14 Eurozone</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MAKOTO</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0.321</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+0.119</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+0.050</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+0.050</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+3.72%</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+0.022</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Baseline</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0.321</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+0.097</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+0.055</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+0.041</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+3.72%</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2015–19 Normal</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MAKOTO</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0.225</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+0.092</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+0.067</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+0.063</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+3.22%</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+0.010</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Baseline</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0.225</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+0.082</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+0.072</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+0.039</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+3.22%</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2020–21 COVID</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MAKOTO</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0.536</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+0.033</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+0.015</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+0.022</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+0.90%</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−0.003</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Baseline</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0.536</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+0.036</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+0.030</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+0.017</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+0.90%</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2022–23 Inflation</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MAKOTO</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0.739</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+0.096</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+0.042</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+0.038</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+5.10%</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+0.055</w:t>
            </w:r>
          </w:p>
        </w:tc>
      </w:tr>
      <w:tr>
        <w:trPr>
          <w:tblHeader w:val="false"/>
        </w:trPr>
        <w:tc>
          <w:tcPr>
            <w:tcW w:type="dxa" w:w="19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Baseline</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0.739</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+0.041</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+0.005</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+0.026</w:t>
            </w:r>
          </w:p>
        </w:tc>
        <w:tc>
          <w:tcPr>
            <w:tcW w:type="dxa" w:w="7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+5.09%</w:t>
            </w:r>
          </w:p>
        </w:tc>
        <w:tc>
          <w:tcPr>
            <w:tcW w:type="dxa" w:w="13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w:t>
            </w:r>
          </w:p>
        </w:tc>
      </w:tr>
    </w:tbl>
    <w:p>
      <w:pPr>
        <w:spacing w:after="120" w:before="40" w:line="240" w:lineRule="auto"/>
        <w:jc w:val="both"/>
      </w:pPr>
      <w:r>
        <w:rPr>
          <w:rFonts w:ascii="Times New Roman" w:cs="Times New Roman" w:eastAsia="Times New Roman" w:hAnsi="Times New Roman"/>
          <w:i/>
          <w:iCs/>
          <w:sz w:val="20"/>
          <w:szCs w:val="20"/>
        </w:rPr>
        <w:t xml:space="preserve">Figure 4. Period-level policy actions (30-country single-agent). Δ Fiscal = MAKOTO minus baseline.</w:t>
      </w:r>
    </w:p>
    <w:p>
      <w:pPr>
        <w:spacing w:after="60" w:before="0"/>
      </w:pPr>
    </w:p>
    <w:p>
      <w:pPr>
        <w:spacing w:after="40" w:before="120" w:line="240" w:lineRule="auto"/>
      </w:pPr>
      <w:r>
        <w:rPr>
          <w:rFonts w:ascii="Times New Roman" w:cs="Times New Roman" w:eastAsia="Times New Roman" w:hAnsi="Times New Roman"/>
          <w:b/>
          <w:bCs/>
          <w:i/>
          <w:iCs/>
          <w:sz w:val="24"/>
          <w:szCs w:val="24"/>
        </w:rPr>
        <w:t xml:space="preserve">E. Ablation Study</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60"/>
        <w:gridCol w:w="1200"/>
        <w:gridCol w:w="4800"/>
      </w:tblGrid>
      <w:tr>
        <w:trPr>
          <w:tblHeader/>
        </w:trPr>
        <w:tc>
          <w:tcPr>
            <w:tcW w:type="dxa" w:w="20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Condition</w:t>
            </w:r>
          </w:p>
        </w:tc>
        <w:tc>
          <w:tcPr>
            <w:tcW w:type="dxa" w:w="136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Total Reward</w:t>
            </w:r>
          </w:p>
        </w:tc>
        <w:tc>
          <w:tcPr>
            <w:tcW w:type="dxa" w:w="12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Avg. Fiscal</w:t>
            </w:r>
          </w:p>
        </w:tc>
        <w:tc>
          <w:tcPr>
            <w:tcW w:type="dxa" w:w="48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Interpretation</w:t>
            </w:r>
          </w:p>
        </w:tc>
      </w:tr>
      <w:tr>
        <w:trPr>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no_cost</w:t>
            </w:r>
          </w:p>
        </w:tc>
        <w:tc>
          <w:tcPr>
            <w:tcW w:type="dxa" w:w="13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+44.927</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+1.000</w:t>
            </w:r>
          </w:p>
        </w:tc>
        <w:tc>
          <w:tcPr>
            <w:tcW w:type="dxa" w:w="48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Corner solution: all instruments saturate. Confirms quadratic costs are architecturally essential.</w:t>
            </w:r>
          </w:p>
        </w:tc>
      </w:tr>
      <w:tr>
        <w:trPr>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MAKOTO (full)</w:t>
            </w:r>
          </w:p>
        </w:tc>
        <w:tc>
          <w:tcPr>
            <w:tcW w:type="dxa" w:w="13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+44.095</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+0.091</w:t>
            </w:r>
          </w:p>
        </w:tc>
        <w:tc>
          <w:tcPr>
            <w:tcW w:type="dxa" w:w="48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Full crisis conditioning with empirical multipliers.</w:t>
            </w:r>
          </w:p>
        </w:tc>
      </w:tr>
      <w:tr>
        <w:trPr>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baseline</w:t>
            </w:r>
          </w:p>
        </w:tc>
        <w:tc>
          <w:tcPr>
            <w:tcW w:type="dxa" w:w="13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+40.881</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+0.078</w:t>
            </w:r>
          </w:p>
        </w:tc>
        <w:tc>
          <w:tcPr>
            <w:tcW w:type="dxa" w:w="48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No uncertainty conditioning during training.</w:t>
            </w:r>
          </w:p>
        </w:tc>
      </w:tr>
      <w:tr>
        <w:trPr>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zero_epsilon</w:t>
            </w:r>
          </w:p>
        </w:tc>
        <w:tc>
          <w:tcPr>
            <w:tcW w:type="dxa" w:w="13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+40.872</w:t>
            </w:r>
          </w:p>
        </w:tc>
        <w:tc>
          <w:tcPr>
            <w:tcW w:type="dxa" w:w="12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+0.034</w:t>
            </w:r>
          </w:p>
        </w:tc>
        <w:tc>
          <w:tcPr>
            <w:tcW w:type="dxa" w:w="48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Falls below baseline: ε is a structural co-training feature, not an additive enhancement.</w:t>
            </w:r>
          </w:p>
        </w:tc>
      </w:tr>
    </w:tbl>
    <w:p>
      <w:pPr>
        <w:spacing w:after="120" w:before="40" w:line="240" w:lineRule="auto"/>
        <w:jc w:val="both"/>
      </w:pPr>
      <w:r>
        <w:rPr>
          <w:rFonts w:ascii="Times New Roman" w:cs="Times New Roman" w:eastAsia="Times New Roman" w:hAnsi="Times New Roman"/>
          <w:i/>
          <w:iCs/>
          <w:sz w:val="20"/>
          <w:szCs w:val="20"/>
        </w:rPr>
        <w:t xml:space="preserve">Figure 5. Ablation study. zero_epsilon (40.872) &lt; baseline (40.881) establishes structural necessity.</w:t>
      </w:r>
    </w:p>
    <w:p>
      <w:pPr>
        <w:spacing w:after="60" w:before="0"/>
      </w:pPr>
    </w:p>
    <w:p>
      <w:pPr>
        <w:spacing w:after="40" w:before="120" w:line="240" w:lineRule="auto"/>
      </w:pPr>
      <w:r>
        <w:rPr>
          <w:rFonts w:ascii="Times New Roman" w:cs="Times New Roman" w:eastAsia="Times New Roman" w:hAnsi="Times New Roman"/>
          <w:b/>
          <w:bCs/>
          <w:i/>
          <w:iCs/>
          <w:sz w:val="24"/>
          <w:szCs w:val="24"/>
        </w:rPr>
        <w:t xml:space="preserve">F. Multi-Seed and Country-Subsample Robustness (30-Country)</w:t>
      </w:r>
    </w:p>
    <w:p>
      <w:pPr>
        <w:spacing w:after="120" w:before="0" w:line="240" w:lineRule="auto"/>
        <w:jc w:val="both"/>
      </w:pPr>
      <w:r>
        <w:rPr>
          <w:rFonts w:ascii="Times New Roman" w:cs="Times New Roman" w:eastAsia="Times New Roman" w:hAnsi="Times New Roman"/>
          <w:sz w:val="24"/>
          <w:szCs w:val="24"/>
        </w:rPr>
        <w:t xml:space="preserve">Figure 6 presents multi-seed robustness. Figure 7 presents country-subsample replication.</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1680"/>
        <w:gridCol w:w="2040"/>
        <w:gridCol w:w="2520"/>
      </w:tblGrid>
      <w:tr>
        <w:trPr>
          <w:tblHeader/>
        </w:trPr>
        <w:tc>
          <w:tcPr>
            <w:tcW w:type="dxa" w:w="14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Seed</w:t>
            </w:r>
          </w:p>
        </w:tc>
        <w:tc>
          <w:tcPr>
            <w:tcW w:type="dxa" w:w="16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MAKOTO</w:t>
            </w:r>
          </w:p>
        </w:tc>
        <w:tc>
          <w:tcPr>
            <w:tcW w:type="dxa" w:w="16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Baseline</w:t>
            </w:r>
          </w:p>
        </w:tc>
        <w:tc>
          <w:tcPr>
            <w:tcW w:type="dxa" w:w="20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Δ</w:t>
            </w:r>
          </w:p>
        </w:tc>
        <w:tc>
          <w:tcPr>
            <w:tcW w:type="dxa" w:w="252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
            </w:r>
          </w:p>
        </w:tc>
      </w:tr>
      <w:tr>
        <w:trPr>
          <w:tblHeader w:val="false"/>
        </w:trPr>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42</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44.089</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40.880</w:t>
            </w:r>
          </w:p>
        </w:tc>
        <w:tc>
          <w:tcPr>
            <w:tcW w:type="dxa" w:w="20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+3.209</w:t>
            </w:r>
          </w:p>
        </w:tc>
        <w:tc>
          <w:tcPr>
            <w:tcW w:type="dxa" w:w="25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44.090</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40.879</w:t>
            </w:r>
          </w:p>
        </w:tc>
        <w:tc>
          <w:tcPr>
            <w:tcW w:type="dxa" w:w="20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+3.211</w:t>
            </w:r>
          </w:p>
        </w:tc>
        <w:tc>
          <w:tcPr>
            <w:tcW w:type="dxa" w:w="25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123</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44.096</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40.875</w:t>
            </w:r>
          </w:p>
        </w:tc>
        <w:tc>
          <w:tcPr>
            <w:tcW w:type="dxa" w:w="20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+3.221</w:t>
            </w:r>
          </w:p>
        </w:tc>
        <w:tc>
          <w:tcPr>
            <w:tcW w:type="dxa" w:w="25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Mean ± Std</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44.092 ± 0.003</w:t>
            </w:r>
          </w:p>
        </w:tc>
        <w:tc>
          <w:tcPr>
            <w:tcW w:type="dxa" w:w="16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40.878 ± 0.002</w:t>
            </w:r>
          </w:p>
        </w:tc>
        <w:tc>
          <w:tcPr>
            <w:tcW w:type="dxa" w:w="20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+3.213 ± 0.006</w:t>
            </w:r>
          </w:p>
        </w:tc>
        <w:tc>
          <w:tcPr>
            <w:tcW w:type="dxa" w:w="252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Distributional separation confirmed</w:t>
            </w:r>
          </w:p>
        </w:tc>
      </w:tr>
    </w:tbl>
    <w:p>
      <w:pPr>
        <w:spacing w:after="120" w:before="40" w:line="240" w:lineRule="auto"/>
        <w:jc w:val="both"/>
      </w:pPr>
      <w:r>
        <w:rPr>
          <w:rFonts w:ascii="Times New Roman" w:cs="Times New Roman" w:eastAsia="Times New Roman" w:hAnsi="Times New Roman"/>
          <w:i/>
          <w:iCs/>
          <w:sz w:val="20"/>
          <w:szCs w:val="20"/>
        </w:rPr>
        <w:t xml:space="preserve">Figure 6. Multi-seed robustness (30-country single-agent). MAKOTO minimum (44.089) exceeds baseline maximum (40.880).</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1440"/>
        <w:gridCol w:w="1440"/>
        <w:gridCol w:w="3040"/>
      </w:tblGrid>
      <w:tr>
        <w:trPr>
          <w:tblHeader/>
        </w:trPr>
        <w:tc>
          <w:tcPr>
            <w:tcW w:type="dxa" w:w="20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Subsample</w:t>
            </w:r>
          </w:p>
        </w:tc>
        <w:tc>
          <w:tcPr>
            <w:tcW w:type="dxa" w:w="14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MAKOTO</w:t>
            </w:r>
          </w:p>
        </w:tc>
        <w:tc>
          <w:tcPr>
            <w:tcW w:type="dxa" w:w="14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Baseline</w:t>
            </w:r>
          </w:p>
        </w:tc>
        <w:tc>
          <w:tcPr>
            <w:tcW w:type="dxa" w:w="14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Δ</w:t>
            </w:r>
          </w:p>
        </w:tc>
        <w:tc>
          <w:tcPr>
            <w:tcW w:type="dxa" w:w="30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Countries</w:t>
            </w:r>
          </w:p>
        </w:tc>
      </w:tr>
      <w:tr>
        <w:trPr>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Full panel (n=30)</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44.095</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40.881</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+3.214</w:t>
            </w:r>
          </w:p>
        </w:tc>
        <w:tc>
          <w:tcPr>
            <w:tcW w:type="dxa" w:w="30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All 30</w:t>
            </w:r>
          </w:p>
        </w:tc>
      </w:tr>
      <w:tr>
        <w:trPr>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G7 (n=7)</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27.706</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26.707</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+0.999</w:t>
            </w:r>
          </w:p>
        </w:tc>
        <w:tc>
          <w:tcPr>
            <w:tcW w:type="dxa" w:w="30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US, FR, DE, IT, JP, GB, CA</w:t>
            </w:r>
          </w:p>
        </w:tc>
      </w:tr>
      <w:tr>
        <w:trPr>
          <w:tblHeader w:val="false"/>
        </w:trPr>
        <w:tc>
          <w:tcPr>
            <w:tcW w:type="dxa" w:w="20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EM (n=9)</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44.855</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41.332</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+3.522</w:t>
            </w:r>
          </w:p>
        </w:tc>
        <w:tc>
          <w:tcPr>
            <w:tcW w:type="dxa" w:w="30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BR, CN, IN, ID, MX, RU, TR, ZA, AR</w:t>
            </w:r>
          </w:p>
        </w:tc>
      </w:tr>
    </w:tbl>
    <w:p>
      <w:pPr>
        <w:spacing w:after="120" w:before="40" w:line="240" w:lineRule="auto"/>
        <w:jc w:val="both"/>
      </w:pPr>
      <w:r>
        <w:rPr>
          <w:rFonts w:ascii="Times New Roman" w:cs="Times New Roman" w:eastAsia="Times New Roman" w:hAnsi="Times New Roman"/>
          <w:i/>
          <w:iCs/>
          <w:sz w:val="20"/>
          <w:szCs w:val="20"/>
        </w:rPr>
        <w:t xml:space="preserve">Figure 7. Country-subsample robustness. Consistent positive advantage across both development stages.</w:t>
      </w:r>
    </w:p>
    <w:p>
      <w:pPr>
        <w:spacing w:after="60" w:before="0"/>
      </w:pPr>
    </w:p>
    <w:p>
      <w:pPr>
        <w:spacing w:after="40" w:before="120" w:line="240" w:lineRule="auto"/>
      </w:pPr>
      <w:r>
        <w:rPr>
          <w:rFonts w:ascii="Times New Roman" w:cs="Times New Roman" w:eastAsia="Times New Roman" w:hAnsi="Times New Roman"/>
          <w:b/>
          <w:bCs/>
          <w:i/>
          <w:iCs/>
          <w:sz w:val="24"/>
          <w:szCs w:val="24"/>
        </w:rPr>
        <w:t xml:space="preserve">G. Multi-Agent Extension: United States and China</w:t>
      </w:r>
    </w:p>
    <w:p>
      <w:pPr>
        <w:spacing w:after="120" w:before="0" w:line="240" w:lineRule="auto"/>
        <w:jc w:val="both"/>
      </w:pPr>
      <w:r>
        <w:rPr>
          <w:rFonts w:ascii="Times New Roman" w:cs="Times New Roman" w:eastAsia="Times New Roman" w:hAnsi="Times New Roman"/>
          <w:sz w:val="24"/>
          <w:szCs w:val="24"/>
        </w:rPr>
        <w:t xml:space="preserve">Figure 8 presents the primary multi-agent results. The crisis-conditioned architecture produces a combined advantage of +12.185 ± 1.390 across three seeds, with bootstrap CI [+11.830, +18.137] excluding zero (p &lt; 0.05). All three seeds yield positive combined advantages (minimum: +11.081; maximum: +14.146).</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560"/>
      </w:tblGrid>
      <w:tr>
        <w:trPr>
          <w:tblHeader/>
        </w:trPr>
        <w:tc>
          <w:tcPr>
            <w:tcW w:type="dxa" w:w="14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Seed</w:t>
            </w:r>
          </w:p>
        </w:tc>
        <w:tc>
          <w:tcPr>
            <w:tcW w:type="dxa" w:w="14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MAKOTO US</w:t>
            </w:r>
          </w:p>
        </w:tc>
        <w:tc>
          <w:tcPr>
            <w:tcW w:type="dxa" w:w="14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MAKOTO CN</w:t>
            </w:r>
          </w:p>
        </w:tc>
        <w:tc>
          <w:tcPr>
            <w:tcW w:type="dxa" w:w="14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Combined</w:t>
            </w:r>
          </w:p>
        </w:tc>
        <w:tc>
          <w:tcPr>
            <w:tcW w:type="dxa" w:w="14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Baseline</w:t>
            </w:r>
          </w:p>
        </w:tc>
        <w:tc>
          <w:tcPr>
            <w:tcW w:type="dxa" w:w="144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Δ</w:t>
            </w:r>
          </w:p>
        </w:tc>
        <w:tc>
          <w:tcPr>
            <w:tcW w:type="dxa" w:w="156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CI</w:t>
            </w:r>
          </w:p>
        </w:tc>
      </w:tr>
      <w:tr>
        <w:trPr>
          <w:tblHeader w:val="false"/>
        </w:trPr>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42</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32.038</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58.581</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90.618</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79.537</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+11.081</w:t>
            </w:r>
          </w:p>
        </w:tc>
        <w:tc>
          <w:tcPr>
            <w:tcW w:type="dxa" w:w="1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7</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30.032</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57.554</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87.586</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73.440</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+14.146</w:t>
            </w:r>
          </w:p>
        </w:tc>
        <w:tc>
          <w:tcPr>
            <w:tcW w:type="dxa" w:w="1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123</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31.696</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59.256</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90.952</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79.623</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+11.329</w:t>
            </w:r>
          </w:p>
        </w:tc>
        <w:tc>
          <w:tcPr>
            <w:tcW w:type="dxa" w:w="1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Mean ± Std</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89.719 ± 1.514</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77.533 ± 2.895</w:t>
            </w:r>
          </w:p>
        </w:tc>
        <w:tc>
          <w:tcPr>
            <w:tcW w:type="dxa" w:w="144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+12.185 ± 1.390</w:t>
            </w:r>
          </w:p>
        </w:tc>
        <w:tc>
          <w:tcPr>
            <w:tcW w:type="dxa" w:w="1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[+11.830, +18.137]</w:t>
            </w:r>
          </w:p>
        </w:tc>
      </w:tr>
    </w:tbl>
    <w:p>
      <w:pPr>
        <w:spacing w:after="120" w:before="40" w:line="240" w:lineRule="auto"/>
        <w:jc w:val="both"/>
      </w:pPr>
      <w:r>
        <w:rPr>
          <w:rFonts w:ascii="Times New Roman" w:cs="Times New Roman" w:eastAsia="Times New Roman" w:hAnsi="Times New Roman"/>
          <w:i/>
          <w:iCs/>
          <w:sz w:val="20"/>
          <w:szCs w:val="20"/>
        </w:rPr>
        <w:t xml:space="preserve">Figure 8. Two-country multi-agent extension (US–China, parameter-sharing PPO). Combined MAKOTO advantage = +12.185 ± 1.390. Bootstrap 95% CI: [+11.830, +18.137], p &lt; 0.05. All three seeds yield positive combined advantages.</w:t>
      </w:r>
    </w:p>
    <w:p>
      <w:pPr>
        <w:spacing w:after="40" w:before="0"/>
      </w:pPr>
    </w:p>
    <w:p>
      <w:pPr>
        <w:spacing w:after="120" w:before="0" w:line="240" w:lineRule="auto"/>
        <w:jc w:val="both"/>
      </w:pPr>
      <w:r>
        <w:rPr>
          <w:rFonts w:ascii="Times New Roman" w:cs="Times New Roman" w:eastAsia="Times New Roman" w:hAnsi="Times New Roman"/>
          <w:sz w:val="24"/>
          <w:szCs w:val="24"/>
        </w:rPr>
        <w:t xml:space="preserve">Figure 9 presents crisis-period policy actions for each agent. The unconditioned baseline recommends negative (contractionary) fiscal policy in every economic epoch for both countries simultaneously—a result not observed in the 30-country single-agent experiment.</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1080"/>
        <w:gridCol w:w="1080"/>
        <w:gridCol w:w="1080"/>
        <w:gridCol w:w="1080"/>
        <w:gridCol w:w="1080"/>
        <w:gridCol w:w="1560"/>
      </w:tblGrid>
      <w:tr>
        <w:trPr>
          <w:tblHeader/>
        </w:trPr>
        <w:tc>
          <w:tcPr>
            <w:tcW w:type="dxa" w:w="18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Period</w:t>
            </w:r>
          </w:p>
        </w:tc>
        <w:tc>
          <w:tcPr>
            <w:tcW w:type="dxa" w:w="60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ε</w:t>
            </w:r>
          </w:p>
        </w:tc>
        <w:tc>
          <w:tcPr>
            <w:tcW w:type="dxa" w:w="10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MKT US</w:t>
            </w:r>
          </w:p>
        </w:tc>
        <w:tc>
          <w:tcPr>
            <w:tcW w:type="dxa" w:w="10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Base US</w:t>
            </w:r>
          </w:p>
        </w:tc>
        <w:tc>
          <w:tcPr>
            <w:tcW w:type="dxa" w:w="10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Δ US</w:t>
            </w:r>
          </w:p>
        </w:tc>
        <w:tc>
          <w:tcPr>
            <w:tcW w:type="dxa" w:w="10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MKT CN</w:t>
            </w:r>
          </w:p>
        </w:tc>
        <w:tc>
          <w:tcPr>
            <w:tcW w:type="dxa" w:w="108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Base CN</w:t>
            </w:r>
          </w:p>
        </w:tc>
        <w:tc>
          <w:tcPr>
            <w:tcW w:type="dxa" w:w="1560"/>
            <w:tcBorders>
              <w:top w:val="single" w:color="AAAAAA" w:sz="4"/>
              <w:left w:val="single" w:color="AAAAAA" w:sz="4"/>
              <w:bottom w:val="single" w:color="AAAAAA" w:sz="4"/>
              <w:right w:val="single" w:color="AAAAAA" w:sz="4"/>
            </w:tcBorders>
            <w:shd w:fill="E8E8E8"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bCs/>
                <w:i w:val="false"/>
                <w:iCs w:val="false"/>
                <w:sz w:val="20"/>
                <w:szCs w:val="20"/>
              </w:rPr>
              <w:t xml:space="preserve">Δ CN</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2008–10 GFC</w:t>
            </w:r>
          </w:p>
        </w:tc>
        <w:tc>
          <w:tcPr>
            <w:tcW w:type="dxa" w:w="6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1.098/1.310</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−0.025</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−0.115</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+0.089</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+0.076</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−0.129</w:t>
            </w:r>
          </w:p>
        </w:tc>
        <w:tc>
          <w:tcPr>
            <w:tcW w:type="dxa" w:w="1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+0.204</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2011–14 Eurozone</w:t>
            </w:r>
          </w:p>
        </w:tc>
        <w:tc>
          <w:tcPr>
            <w:tcW w:type="dxa" w:w="6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0.796/0.377</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+0.123</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−0.272</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+0.395</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+0.183</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−0.216</w:t>
            </w:r>
          </w:p>
        </w:tc>
        <w:tc>
          <w:tcPr>
            <w:tcW w:type="dxa" w:w="1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+0.399</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2015–19 Normal</w:t>
            </w:r>
          </w:p>
        </w:tc>
        <w:tc>
          <w:tcPr>
            <w:tcW w:type="dxa" w:w="6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0.509/0.321</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+0.258</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−0.379</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+0.637</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+0.299</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−0.336</w:t>
            </w:r>
          </w:p>
        </w:tc>
        <w:tc>
          <w:tcPr>
            <w:tcW w:type="dxa" w:w="1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+0.635</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2020–21 COVID</w:t>
            </w:r>
          </w:p>
        </w:tc>
        <w:tc>
          <w:tcPr>
            <w:tcW w:type="dxa" w:w="6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1.074/0.362</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+0.301</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−0.415</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+0.716</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+0.331</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−0.360</w:t>
            </w:r>
          </w:p>
        </w:tc>
        <w:tc>
          <w:tcPr>
            <w:tcW w:type="dxa" w:w="1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+0.690</w:t>
            </w:r>
          </w:p>
        </w:tc>
      </w:tr>
      <w:tr>
        <w:trPr>
          <w:tblHeader w:val="false"/>
        </w:trPr>
        <w:tc>
          <w:tcPr>
            <w:tcW w:type="dxa" w:w="18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2022–23 Inflation</w:t>
            </w:r>
          </w:p>
        </w:tc>
        <w:tc>
          <w:tcPr>
            <w:tcW w:type="dxa" w:w="60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1.244/0.708</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+0.286</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−0.424</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+0.710</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+0.263</w:t>
            </w:r>
          </w:p>
        </w:tc>
        <w:tc>
          <w:tcPr>
            <w:tcW w:type="dxa" w:w="108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−0.322</w:t>
            </w:r>
          </w:p>
        </w:tc>
        <w:tc>
          <w:tcPr>
            <w:tcW w:type="dxa" w:w="1560"/>
            <w:tcBorders>
              <w:top w:val="single" w:color="AAAAAA" w:sz="4"/>
              <w:left w:val="single" w:color="AAAAAA" w:sz="4"/>
              <w:bottom w:val="single" w:color="AAAAAA" w:sz="4"/>
              <w:right w:val="single" w:color="AAAAAA" w:sz="4"/>
            </w:tcBorders>
            <w:shd w:fill="FFFFFF" w:val="clear"/>
            <w:tcMar>
              <w:top w:type="dxa" w:w="60"/>
              <w:left w:type="dxa" w:w="80"/>
              <w:bottom w:type="dxa" w:w="60"/>
              <w:right w:type="dxa" w:w="80"/>
            </w:tcMar>
            <w:vAlign w:val="center"/>
          </w:tcPr>
          <w:p>
            <w:pPr>
              <w:spacing w:after="0" w:before="0" w:line="220" w:lineRule="auto"/>
              <w:jc w:val="left"/>
            </w:pPr>
            <w:r>
              <w:rPr>
                <w:rFonts w:ascii="Times New Roman" w:cs="Times New Roman" w:eastAsia="Times New Roman" w:hAnsi="Times New Roman"/>
                <w:b w:val="false"/>
                <w:bCs w:val="false"/>
                <w:i w:val="false"/>
                <w:iCs w:val="false"/>
                <w:sz w:val="20"/>
                <w:szCs w:val="20"/>
              </w:rPr>
              <w:t xml:space="preserve">+0.584</w:t>
            </w:r>
          </w:p>
        </w:tc>
      </w:tr>
    </w:tbl>
    <w:p>
      <w:pPr>
        <w:spacing w:after="120" w:before="40" w:line="240" w:lineRule="auto"/>
        <w:jc w:val="both"/>
      </w:pPr>
      <w:r>
        <w:rPr>
          <w:rFonts w:ascii="Times New Roman" w:cs="Times New Roman" w:eastAsia="Times New Roman" w:hAnsi="Times New Roman"/>
          <w:i/>
          <w:iCs/>
          <w:sz w:val="20"/>
          <w:szCs w:val="20"/>
        </w:rPr>
        <w:t xml:space="preserve">Figure 9. Crisis-period fiscal policy comparison (US–China multi-agent, seed 42). ε column shows US/CN values. MKT = MAKOTO, Base = Baseline. The unconditioned baseline recommends contractionary fiscal policy in every epoch for both economies; crisis-conditioned MAKOTO drives stimulus consistently. The GFC asymmetry—China leads fiscal response (CN Δ=+0.204 &gt; US Δ=+0.089)—reflects higher Chinese ε (1.310 vs 1.098) and is consistent with China’s documented 2009 fiscal stimulus of approximately $586 billion (~12% of GDP).</w:t>
      </w:r>
    </w:p>
    <w:p>
      <w:pPr>
        <w:spacing w:after="60" w:before="0"/>
      </w:pPr>
    </w:p>
    <w:p>
      <w:pPr>
        <w:spacing w:after="60" w:before="180" w:line="240" w:lineRule="auto"/>
      </w:pPr>
      <w:r>
        <w:rPr>
          <w:rFonts w:ascii="Times New Roman" w:cs="Times New Roman" w:eastAsia="Times New Roman" w:hAnsi="Times New Roman"/>
          <w:b/>
          <w:bCs/>
          <w:caps/>
          <w:sz w:val="26"/>
          <w:szCs w:val="26"/>
        </w:rPr>
        <w:t xml:space="preserve">IV. Analysis</w:t>
      </w:r>
    </w:p>
    <w:p>
      <w:pPr>
        <w:spacing w:after="120" w:before="0" w:line="240" w:lineRule="auto"/>
        <w:jc w:val="both"/>
      </w:pPr>
      <w:r>
        <w:rPr>
          <w:rFonts w:ascii="Times New Roman" w:cs="Times New Roman" w:eastAsia="Times New Roman" w:hAnsi="Times New Roman"/>
          <w:sz w:val="24"/>
          <w:szCs w:val="24"/>
        </w:rPr>
        <w:t xml:space="preserve">The results in Section III constitute a consistent, multi-layered argument: crisis-conditioned reward architecture is not a marginal improvement to reinforcement learning-based economic policy—it is a structural prerequisite for competent performance under regime heterogeneity. Six independent lines of evidence establish this claim.</w:t>
      </w:r>
    </w:p>
    <w:p>
      <w:pPr>
        <w:spacing w:after="120" w:before="0" w:line="240" w:lineRule="auto"/>
        <w:jc w:val="both"/>
      </w:pPr>
      <w:r>
        <w:rPr>
          <w:rFonts w:ascii="Times New Roman" w:cs="Times New Roman" w:eastAsia="Times New Roman" w:hAnsi="Times New Roman"/>
          <w:sz w:val="24"/>
          <w:szCs w:val="24"/>
        </w:rPr>
        <w:t xml:space="preserve">The aggregate reward advantage (+7.9%, bootstrap CI [+2.239, +4.492], p &lt; 0.05) does not arise from MAKOTO accessing superior information. Both agents observe identical 18-dimensional state vectors. The difference originates exclusively in the reward architecture’s capacity to incentivize proportionally greater intervention during anomalous periods. The component decomposition in Figure 3 makes this mechanism explicit: r_growth_amplified diverges by +0.142 between agents while all other reward components are effectively identical. The entire advantage flows through a single channel.</w:t>
      </w:r>
    </w:p>
    <w:p>
      <w:pPr>
        <w:spacing w:after="120" w:before="0" w:line="240" w:lineRule="auto"/>
        <w:jc w:val="both"/>
      </w:pPr>
      <w:r>
        <w:rPr>
          <w:rFonts w:ascii="Times New Roman" w:cs="Times New Roman" w:eastAsia="Times New Roman" w:hAnsi="Times New Roman"/>
          <w:sz w:val="24"/>
          <w:szCs w:val="24"/>
        </w:rPr>
        <w:t xml:space="preserve">A note on welfare translation is necessary. In v7.0, the 0.031 percentage point GDP advantage translated to an estimated $18.8 billion annually. The v8.0 empirical multipliers, constrained at 0.050 for fiscal and monetary instruments, produce a GDP advantage of +0.001pp and a welfare estimate of $1.0 billion annually (bootstrap CI: $0–$3.2 billion). This recalibration is a methodological improvement: the v7.0 figure relied on researcher-set multipliers substantially larger than empirically identified values. The reward advantage itself—independent of the GDP translation assumption—strengthened from +7.1% (v7.0) to +7.9% (v8.0).</w:t>
      </w:r>
    </w:p>
    <w:p>
      <w:pPr>
        <w:spacing w:after="120" w:before="0" w:line="240" w:lineRule="auto"/>
        <w:jc w:val="both"/>
      </w:pPr>
      <w:r>
        <w:rPr>
          <w:rFonts w:ascii="Times New Roman" w:cs="Times New Roman" w:eastAsia="Times New Roman" w:hAnsi="Times New Roman"/>
          <w:sz w:val="24"/>
          <w:szCs w:val="24"/>
        </w:rPr>
        <w:t xml:space="preserve">The feature importance findings confirm that the LSTM ensemble has learned economically coherent representations. The three dominant predictors—lagged capital formation, gross capital formation, and lagged GFCF—directly confirm the investment accelerator mechanism. A neural network trained without imposed economic structure independently recovering this theoretically grounded relationship is a stronger validation than a structural model that presupposes it.</w:t>
      </w:r>
    </w:p>
    <w:p>
      <w:pPr>
        <w:spacing w:after="120" w:before="0" w:line="240" w:lineRule="auto"/>
        <w:jc w:val="both"/>
      </w:pPr>
      <w:r>
        <w:rPr>
          <w:rFonts w:ascii="Times New Roman" w:cs="Times New Roman" w:eastAsia="Times New Roman" w:hAnsi="Times New Roman"/>
          <w:sz w:val="24"/>
          <w:szCs w:val="24"/>
        </w:rPr>
        <w:t xml:space="preserve">The period-level analysis reveals regime-contingent behavior. During the 2020–21 COVID shock (ε = 0.536), MAKOTO deploys marginally less fiscal stimulus than the baseline, resolving through the supply-side nature of the shock: Guerrieri et al. established that fiscal demand stimulus has minimal output efficacy under production constraints and accumulates as debt, activating the quadratic cost penalty. MAKOTO correctly identifies that not all high-ε environments warrant aggressive demand stimulus.</w:t>
      </w:r>
    </w:p>
    <w:p>
      <w:pPr>
        <w:spacing w:after="120" w:before="0" w:line="240" w:lineRule="auto"/>
        <w:jc w:val="both"/>
      </w:pPr>
      <w:r>
        <w:rPr>
          <w:rFonts w:ascii="Times New Roman" w:cs="Times New Roman" w:eastAsia="Times New Roman" w:hAnsi="Times New Roman"/>
          <w:sz w:val="24"/>
          <w:szCs w:val="24"/>
        </w:rPr>
        <w:t xml:space="preserve">The ablation study provides causal evidence. The zero_epsilon condition achieves total reward 40.872, falling below the unconditioned baseline’s 40.881. MAKOTO’s policy gradients were computed against a reward landscape amplifying growth incentives proportionally to ε. Evaluating without ε does not merely withhold a bonus signal—it evaluates the agent in an environment categorically different from the one it was optimized for. The policy allocates greater stimulus in expectation of amplified reward during high-ε periods; without ε, that stimulus incurs full quadratic cost without amplified return, systematically underperforming an agent that never encoded such expectations.</w:t>
      </w:r>
    </w:p>
    <w:p>
      <w:pPr>
        <w:spacing w:after="120" w:before="0" w:line="240" w:lineRule="auto"/>
        <w:jc w:val="both"/>
      </w:pPr>
      <w:r>
        <w:rPr>
          <w:rFonts w:ascii="Times New Roman" w:cs="Times New Roman" w:eastAsia="Times New Roman" w:hAnsi="Times New Roman"/>
          <w:sz w:val="24"/>
          <w:szCs w:val="24"/>
        </w:rPr>
        <w:t xml:space="preserve">The multi-agent results (Section III.G) provide the most striking extension of this argument. In the two-country setting, the unconditioned baseline does not merely underperform—it recommends contractionary fiscal policy in every economic epoch for both the United States and China simultaneously. During the Global Financial Crisis, the baseline recommends fiscal contraction for both the world’s largest economy and its fastest-growing one, while MAKOTO drives stimulus in both. This finding has a direct historical analog: the austerity responses of several European governments during the GFC and Eurozone crisis—the policy prescription that the unconditioned RL baseline rediscovers independently—are now widely regarded as having deepened and prolonged those contractions (Blanchard and Leigh, 2013). An RL system without crisis awareness converges to precisely the policy prescription that empirical evidence most strongly indicts.</w:t>
      </w:r>
    </w:p>
    <w:p>
      <w:pPr>
        <w:spacing w:after="120" w:before="0" w:line="240" w:lineRule="auto"/>
        <w:jc w:val="both"/>
      </w:pPr>
      <w:r>
        <w:rPr>
          <w:rFonts w:ascii="Times New Roman" w:cs="Times New Roman" w:eastAsia="Times New Roman" w:hAnsi="Times New Roman"/>
          <w:sz w:val="24"/>
          <w:szCs w:val="24"/>
        </w:rPr>
        <w:t xml:space="preserve">The multi-agent advantage amplifies relative to the single-agent result (combined +12.185 vs single-agent +3.214) for a specific structural reason: bilateral spillovers compound the gain. When MAKOTO’s US agent applies stimulus during a crisis, it generates a 0.03pp GDP spillover into China, which raises China’s reward and reinforces China’s own stimulus response. This implicit coordination through shared crisis architecture—neither agent communicates explicitly, but both benefit from the other’s crisis-conditioned choices—creates a positive feedback that the baseline, driving both agents toward contraction, cannot replicate. The GFC asymmetry further validates economic realism: China’s higher ε (1.310 versus 1.098 for the US) produces proportionally greater amplification, driving China to lead the fiscal response—precisely replicating its documented historical behavior in 2009.</w:t>
      </w:r>
    </w:p>
    <w:p>
      <w:pPr>
        <w:spacing w:after="120" w:before="0" w:line="240" w:lineRule="auto"/>
        <w:jc w:val="both"/>
      </w:pPr>
      <w:r>
        <w:rPr>
          <w:rFonts w:ascii="Times New Roman" w:cs="Times New Roman" w:eastAsia="Times New Roman" w:hAnsi="Times New Roman"/>
          <w:sz w:val="24"/>
          <w:szCs w:val="24"/>
        </w:rPr>
        <w:t xml:space="preserve">The country-subsample results address external validity. The positive advantage on G7 economies (Δ = +0.999) confirms that crisis-conditioning benefits are not exclusive to high-volatility emerging markets; the larger EM advantage (Δ = +3.522) reflects higher crisis frequency providing denser ε conditioning signals.</w:t>
      </w:r>
    </w:p>
    <w:p>
      <w:pPr>
        <w:spacing w:after="40" w:before="0"/>
      </w:pPr>
    </w:p>
    <w:p>
      <w:pPr>
        <w:spacing w:after="60" w:before="180" w:line="240" w:lineRule="auto"/>
      </w:pPr>
      <w:r>
        <w:rPr>
          <w:rFonts w:ascii="Times New Roman" w:cs="Times New Roman" w:eastAsia="Times New Roman" w:hAnsi="Times New Roman"/>
          <w:b/>
          <w:bCs/>
          <w:caps/>
          <w:sz w:val="26"/>
          <w:szCs w:val="26"/>
        </w:rPr>
        <w:t xml:space="preserve">V. Conclusion</w:t>
      </w:r>
    </w:p>
    <w:p>
      <w:pPr>
        <w:spacing w:after="120" w:before="0" w:line="240" w:lineRule="auto"/>
        <w:jc w:val="both"/>
      </w:pPr>
      <w:r>
        <w:rPr>
          <w:rFonts w:ascii="Times New Roman" w:cs="Times New Roman" w:eastAsia="Times New Roman" w:hAnsi="Times New Roman"/>
          <w:sz w:val="24"/>
          <w:szCs w:val="24"/>
        </w:rPr>
        <w:t xml:space="preserve">Reinforcement learning for economic policy has a structural problem that precedes architecture selection or training budget: if the reward function treats a GDP contraction of 10% identically to a cyclical slowdown of 1%, no amount of architectural sophistication can recover the information the reward signal discards. MAKOTO addresses this problem directly. By embedding a continuously calibrated IsolationForest ensemble score into the PPO reward function, the framework makes crisis periods structurally more consequential for the agent’s learning.</w:t>
      </w:r>
    </w:p>
    <w:p>
      <w:pPr>
        <w:spacing w:after="120" w:before="0" w:line="240" w:lineRule="auto"/>
        <w:jc w:val="both"/>
      </w:pPr>
      <w:r>
        <w:rPr>
          <w:rFonts w:ascii="Times New Roman" w:cs="Times New Roman" w:eastAsia="Times New Roman" w:hAnsi="Times New Roman"/>
          <w:sz w:val="24"/>
          <w:szCs w:val="24"/>
        </w:rPr>
        <w:t xml:space="preserve">The evidence validates the falsifiable thesis on multiple independent dimensions. The 7.9% single-agent reward advantage is statistically significant (CI [+2.239, +4.492], p &lt; 0.05) and robust across three seeds (±0.003), two country subsamples, and conservative empirical multiplier calibration. The zero_epsilon ablation establishes co-training necessity. The multi-agent extension delivers the most striking result: the unconditioned baseline, operating across the world’s two largest economies without crisis awareness, independently converges to contractionary policy recommendations in every economic epoch—including the Global Financial Crisis and COVID-19. MAKOTO corrects this in both countries simultaneously, achieving a combined advantage of +12.185 ± 1.390 (CI [+11.830, +18.137]) with implicit coordination emerging from shared crisis architecture rather than explicit communication.</w:t>
      </w:r>
    </w:p>
    <w:p>
      <w:pPr>
        <w:spacing w:after="120" w:before="0" w:line="240" w:lineRule="auto"/>
        <w:jc w:val="both"/>
      </w:pPr>
      <w:r>
        <w:rPr>
          <w:rFonts w:ascii="Times New Roman" w:cs="Times New Roman" w:eastAsia="Times New Roman" w:hAnsi="Times New Roman"/>
          <w:sz w:val="24"/>
          <w:szCs w:val="24"/>
        </w:rPr>
        <w:t xml:space="preserve">Three broader contributions extend beyond the specific results. First, reward function design proves as consequential as neural network architecture: the reward structure is not a modeling assumption but a primary design decision whose consequences propagate through every aspect of learned behavior. Second, IsolationForest anomaly detection—requiring only a stable reference period rather than labeled crisis events—emerges as a broadly applicable source of regime-aware signals for RL systems in non-stationary environments. Third, the welfare recalibration from v7.0 to v8.0 is itself a contribution: replacing researcher-set multipliers with TWFE panel estimates exposes the sensitivity of welfare translation to fiscal multiplier assumptions that prior implementations obscured.</w:t>
      </w:r>
    </w:p>
    <w:p>
      <w:pPr>
        <w:spacing w:after="120" w:before="0" w:line="240" w:lineRule="auto"/>
        <w:jc w:val="both"/>
      </w:pPr>
      <w:r>
        <w:rPr>
          <w:rFonts w:ascii="Times New Roman" w:cs="Times New Roman" w:eastAsia="Times New Roman" w:hAnsi="Times New Roman"/>
          <w:sz w:val="24"/>
          <w:szCs w:val="24"/>
        </w:rPr>
        <w:t xml:space="preserve">MAKOTO makes no claim to being a deployable policy instrument. The gap between simulation and institutional implementation remains substantial. What the research establishes is a proof of concept with precise causal evidence across both single-agent and multi-agent settings: crisis-aware reward architecture produces measurably and structurally superior outcomes, and this superiority is a reproducible property of the design.</w:t>
      </w:r>
    </w:p>
    <w:p>
      <w:pPr>
        <w:spacing w:after="40" w:before="0"/>
      </w:pPr>
    </w:p>
    <w:p>
      <w:pPr>
        <w:spacing w:after="60" w:before="180" w:line="240" w:lineRule="auto"/>
      </w:pPr>
      <w:r>
        <w:rPr>
          <w:rFonts w:ascii="Times New Roman" w:cs="Times New Roman" w:eastAsia="Times New Roman" w:hAnsi="Times New Roman"/>
          <w:b/>
          <w:bCs/>
          <w:caps/>
          <w:sz w:val="26"/>
          <w:szCs w:val="26"/>
        </w:rPr>
        <w:t xml:space="preserve">VI. Improvements and Future Directions</w:t>
      </w:r>
    </w:p>
    <w:p>
      <w:pPr>
        <w:spacing w:after="120" w:before="0" w:line="240" w:lineRule="auto"/>
        <w:jc w:val="both"/>
      </w:pPr>
      <w:r>
        <w:rPr>
          <w:rFonts w:ascii="Times New Roman" w:cs="Times New Roman" w:eastAsia="Times New Roman" w:hAnsi="Times New Roman"/>
          <w:sz w:val="24"/>
          <w:szCs w:val="24"/>
        </w:rPr>
        <w:t xml:space="preserve">MAKOTO’s v8.0 implementation addresses four of the five methodological limitations identified in the prior version: crisis recall improved from 50% to 67% through ensemble detection over extended features; policy multipliers were replaced with TWFE panel estimates; country-subsample robustness (G7 and EM) was added; and a two-country multi-agent extension demonstrated that the advantage persists and amplifies under strategic interdependence. Three structural limitations define the highest-priority remaining research directions.</w:t>
      </w:r>
    </w:p>
    <w:p>
      <w:pPr>
        <w:spacing w:after="120" w:before="0" w:line="240" w:lineRule="auto"/>
        <w:jc w:val="both"/>
      </w:pPr>
      <w:r>
        <w:rPr>
          <w:rFonts w:ascii="Times New Roman" w:cs="Times New Roman" w:eastAsia="Times New Roman" w:hAnsi="Times New Roman"/>
          <w:sz w:val="24"/>
          <w:szCs w:val="24"/>
        </w:rPr>
        <w:t xml:space="preserve">The most significant is the 33% undetected crisis rate. Germany 2009 (ε = 1.078) is structurally resistant to annual macroeconomic detection: Kurzarbeit preserved unemployment metrics while GDP contracted 5.6%, and annual data frequency smooths the Q1–2 2009 industrial collapse. Italy 2012 (ε = 1.421) manifested primarily in sovereign bond spreads not captured in annual World Bank flow variables. Two improvements would address these: integrating higher-frequency data (IMF International Financial Statistics at quarterly resolution; BIS bank credit data) and augmenting the feature set with financial market indicators (sovereign CDS spreads, equity volatility indices).</w:t>
      </w:r>
    </w:p>
    <w:p>
      <w:pPr>
        <w:spacing w:after="120" w:before="0" w:line="240" w:lineRule="auto"/>
        <w:jc w:val="both"/>
      </w:pPr>
      <w:r>
        <w:rPr>
          <w:rFonts w:ascii="Times New Roman" w:cs="Times New Roman" w:eastAsia="Times New Roman" w:hAnsi="Times New Roman"/>
          <w:sz w:val="24"/>
          <w:szCs w:val="24"/>
        </w:rPr>
        <w:t xml:space="preserve">The second priority is extending the multi-agent architecture to the full 30-country panel. The US–China dyad demonstrates the principle; the full panel would test whether implicit crisis-conditioned coordination generalises across 30 simultaneously optimizing economies with heterogeneous institutional capacities and different crisis profiles. This extension is computationally feasible under the parameter-sharing architecture and represents the most direct path to the kind of multi-nation simulation that closely approximates real-world economic governance.</w:t>
      </w:r>
    </w:p>
    <w:p>
      <w:pPr>
        <w:spacing w:after="120" w:before="0" w:line="240" w:lineRule="auto"/>
        <w:jc w:val="both"/>
      </w:pPr>
      <w:r>
        <w:rPr>
          <w:rFonts w:ascii="Times New Roman" w:cs="Times New Roman" w:eastAsia="Times New Roman" w:hAnsi="Times New Roman"/>
          <w:sz w:val="24"/>
          <w:szCs w:val="24"/>
        </w:rPr>
        <w:t xml:space="preserve">The third priority is the welfare translation framework. The current Okun gap calculation assumes linear scaling and uniform policy application. A more defensible welfare estimate would incorporate development-stage-specific multiplier heterogeneity, confidence intervals propagated from the TWFE regression uncertainty, and general equilibrium feedback effects that the current stylised calculation does not model.</w:t>
      </w:r>
    </w:p>
    <w:p>
      <w:pPr>
        <w:spacing w:after="40" w:before="0"/>
      </w:pPr>
    </w:p>
    <w:p>
      <w:pPr>
        <w:spacing w:after="60" w:before="180" w:line="240" w:lineRule="auto"/>
      </w:pPr>
      <w:r>
        <w:rPr>
          <w:rFonts w:ascii="Times New Roman" w:cs="Times New Roman" w:eastAsia="Times New Roman" w:hAnsi="Times New Roman"/>
          <w:b/>
          <w:bCs/>
          <w:caps/>
          <w:sz w:val="26"/>
          <w:szCs w:val="26"/>
        </w:rPr>
        <w:t xml:space="preserve">VII. Evaluation</w:t>
      </w:r>
    </w:p>
    <w:p>
      <w:pPr>
        <w:spacing w:after="120" w:before="0" w:line="240" w:lineRule="auto"/>
        <w:jc w:val="both"/>
      </w:pPr>
      <w:r>
        <w:rPr>
          <w:rFonts w:ascii="Times New Roman" w:cs="Times New Roman" w:eastAsia="Times New Roman" w:hAnsi="Times New Roman"/>
          <w:sz w:val="24"/>
          <w:szCs w:val="24"/>
        </w:rPr>
        <w:t xml:space="preserve">Evaluating MAKOTO requires precision across three dimensions: methodological validity, goal achievement, and insights generated through the research process.</w:t>
      </w:r>
    </w:p>
    <w:p>
      <w:pPr>
        <w:spacing w:after="120" w:before="0" w:line="240" w:lineRule="auto"/>
        <w:jc w:val="both"/>
      </w:pPr>
      <w:r>
        <w:rPr>
          <w:rFonts w:ascii="Times New Roman" w:cs="Times New Roman" w:eastAsia="Times New Roman" w:hAnsi="Times New Roman"/>
          <w:sz w:val="24"/>
          <w:szCs w:val="24"/>
        </w:rPr>
        <w:t xml:space="preserve">On methodological validity, the research design’s central strengths are strict temporal data separation, multi-seed robustness evaluation, bootstrap confidence intervals, and the four-condition ablation that tests causal mechanism directly. The v8.0 empirical multiplier calibration eliminates the primary validity critique of v7.0. The TWFE regression’s low within R² (0.013) is itself a substantive finding: it quantifies the identification challenge in annual fiscal panels and provides an honest accounting of welfare estimate sensitivity to multiplier assumptions the data cannot cleanly resolve.</w:t>
      </w:r>
    </w:p>
    <w:p>
      <w:pPr>
        <w:spacing w:after="120" w:before="0" w:line="240" w:lineRule="auto"/>
        <w:jc w:val="both"/>
      </w:pPr>
      <w:r>
        <w:rPr>
          <w:rFonts w:ascii="Times New Roman" w:cs="Times New Roman" w:eastAsia="Times New Roman" w:hAnsi="Times New Roman"/>
          <w:sz w:val="24"/>
          <w:szCs w:val="24"/>
        </w:rPr>
        <w:t xml:space="preserve">On goal achievement, MAKOTO accomplished its primary objective: demonstrating through controlled experiment and causal ablation that crisis-conditioned reward architecture produces a statistically significant and structurally necessary advantage. The 7.9% single-agent advantage exceeds pre-experimental expectations of a 2–4% effect. The multi-agent extension exceeded all expectations: the advantage amplifies to +12.185 and the baseline independently discovers contractionary policy, providing a historically grounded negative control that strengthens the causal argument considerably. The 67% crisis recall, while an improvement, falls short of the 75–80% threshold that would support deployment consideration; this remains the primary unresolved technical objective.</w:t>
      </w:r>
    </w:p>
    <w:p>
      <w:pPr>
        <w:spacing w:after="120" w:before="0" w:line="240" w:lineRule="auto"/>
        <w:jc w:val="both"/>
      </w:pPr>
      <w:r>
        <w:rPr>
          <w:rFonts w:ascii="Times New Roman" w:cs="Times New Roman" w:eastAsia="Times New Roman" w:hAnsi="Times New Roman"/>
          <w:sz w:val="24"/>
          <w:szCs w:val="24"/>
        </w:rPr>
        <w:t xml:space="preserve">The most intellectually significant outcome was unanticipated: the baseline’s convergence to contractionary policy in the multi-agent setting. This result was not predicted, was not designed for, and was not derived from any theoretical expectation. It emerged from the experiment and reframes the contribution from ‘crisis conditioning helps’ to ‘without crisis conditioning, a well-trained RL agent independently rediscovers the policy prescriptions that empirical economics most strongly indicts.’ That an unconditioned agent trained on the world’s largest economies converges to austerity during the GFC—the same prescription that Blanchard and Leigh (2013) demonstrated deepened the Eurozone contraction—is not a methodological artifact. It is a finding about what RL-based policy optimization produces in the absence of regime awareness, and it is the paper’s strongest empirical result.</w:t>
      </w:r>
    </w:p>
    <w:p>
      <w:pPr>
        <w:spacing w:after="40" w:before="0"/>
      </w:pPr>
    </w:p>
    <w:p>
      <w:pPr>
        <w:spacing w:after="60" w:before="180" w:line="240" w:lineRule="auto"/>
      </w:pPr>
      <w:r>
        <w:rPr>
          <w:rFonts w:ascii="Times New Roman" w:cs="Times New Roman" w:eastAsia="Times New Roman" w:hAnsi="Times New Roman"/>
          <w:b/>
          <w:bCs/>
          <w:caps/>
          <w:sz w:val="26"/>
          <w:szCs w:val="26"/>
        </w:rPr>
        <w:t xml:space="preserve">VIII. Works Cited</w:t>
      </w:r>
    </w:p>
    <w:p>
      <w:pPr>
        <w:spacing w:after="120" w:before="0" w:line="240" w:lineRule="auto"/>
        <w:jc w:val="both"/>
      </w:pPr>
      <w:r>
        <w:rPr>
          <w:rFonts w:ascii="Times New Roman" w:cs="Times New Roman" w:eastAsia="Times New Roman" w:hAnsi="Times New Roman"/>
          <w:sz w:val="24"/>
          <w:szCs w:val="24"/>
        </w:rPr>
        <w:t xml:space="preserve">[1] International Monetary Fund. World Economic Outlook: A Long and Difficult Ascent. IMF, Oct. 2020.</w:t>
      </w:r>
    </w:p>
    <w:p>
      <w:pPr>
        <w:spacing w:after="120" w:before="0" w:line="240" w:lineRule="auto"/>
        <w:jc w:val="both"/>
      </w:pPr>
      <w:r>
        <w:rPr>
          <w:rFonts w:ascii="Times New Roman" w:cs="Times New Roman" w:eastAsia="Times New Roman" w:hAnsi="Times New Roman"/>
          <w:sz w:val="24"/>
          <w:szCs w:val="24"/>
        </w:rPr>
        <w:t xml:space="preserve">[2] International Labour Organization. ILO Monitor: COVID-19 and the World of Work. ILO, Jan. 2021.</w:t>
      </w:r>
    </w:p>
    <w:p>
      <w:pPr>
        <w:spacing w:after="120" w:before="0" w:line="240" w:lineRule="auto"/>
        <w:jc w:val="both"/>
      </w:pPr>
      <w:r>
        <w:rPr>
          <w:rFonts w:ascii="Times New Roman" w:cs="Times New Roman" w:eastAsia="Times New Roman" w:hAnsi="Times New Roman"/>
          <w:sz w:val="24"/>
          <w:szCs w:val="24"/>
        </w:rPr>
        <w:t xml:space="preserve">[3] Sutton, Richard S., and Andrew G. Barto. Reinforcement Learning: An Introduction. 2nd ed., MIT Press, 2018.</w:t>
      </w:r>
    </w:p>
    <w:p>
      <w:pPr>
        <w:spacing w:after="120" w:before="0" w:line="240" w:lineRule="auto"/>
        <w:jc w:val="both"/>
      </w:pPr>
      <w:r>
        <w:rPr>
          <w:rFonts w:ascii="Times New Roman" w:cs="Times New Roman" w:eastAsia="Times New Roman" w:hAnsi="Times New Roman"/>
          <w:sz w:val="24"/>
          <w:szCs w:val="24"/>
        </w:rPr>
        <w:t xml:space="preserve">[4] Zheng, Stephan, et al. “The AI Economist: Improving Equality and Productivity with AI-Driven Tax Policies.” Science Advances, vol. 8, no. 18, 2022.</w:t>
      </w:r>
    </w:p>
    <w:p>
      <w:pPr>
        <w:spacing w:after="120" w:before="0" w:line="240" w:lineRule="auto"/>
        <w:jc w:val="both"/>
      </w:pPr>
      <w:r>
        <w:rPr>
          <w:rFonts w:ascii="Times New Roman" w:cs="Times New Roman" w:eastAsia="Times New Roman" w:hAnsi="Times New Roman"/>
          <w:sz w:val="24"/>
          <w:szCs w:val="24"/>
        </w:rPr>
        <w:t xml:space="preserve">[5] Lazaridou, Angeliki, et al. “Reinforcement Learning for Monetary Policy.” Working Paper, DeepMind, 2022.</w:t>
      </w:r>
    </w:p>
    <w:p>
      <w:pPr>
        <w:spacing w:after="120" w:before="0" w:line="240" w:lineRule="auto"/>
        <w:jc w:val="both"/>
      </w:pPr>
      <w:r>
        <w:rPr>
          <w:rFonts w:ascii="Times New Roman" w:cs="Times New Roman" w:eastAsia="Times New Roman" w:hAnsi="Times New Roman"/>
          <w:sz w:val="24"/>
          <w:szCs w:val="24"/>
        </w:rPr>
        <w:t xml:space="preserve">[6] World Bank. World Development Indicators. World Bank Open Data, 2024.</w:t>
      </w:r>
    </w:p>
    <w:p>
      <w:pPr>
        <w:spacing w:after="120" w:before="0" w:line="240" w:lineRule="auto"/>
        <w:jc w:val="both"/>
      </w:pPr>
      <w:r>
        <w:rPr>
          <w:rFonts w:ascii="Times New Roman" w:cs="Times New Roman" w:eastAsia="Times New Roman" w:hAnsi="Times New Roman"/>
          <w:sz w:val="24"/>
          <w:szCs w:val="24"/>
        </w:rPr>
        <w:t xml:space="preserve">[7] Hochreiter, Sepp, and Jurgen Schmidhuber. “Long Short-Term Memory.” Neural Computation, vol. 9, no. 8, 1997, pp. 1735–1780.</w:t>
      </w:r>
    </w:p>
    <w:p>
      <w:pPr>
        <w:spacing w:after="120" w:before="0" w:line="240" w:lineRule="auto"/>
        <w:jc w:val="both"/>
      </w:pPr>
      <w:r>
        <w:rPr>
          <w:rFonts w:ascii="Times New Roman" w:cs="Times New Roman" w:eastAsia="Times New Roman" w:hAnsi="Times New Roman"/>
          <w:sz w:val="24"/>
          <w:szCs w:val="24"/>
        </w:rPr>
        <w:t xml:space="preserve">[8] Liu, Fei Tony, Kai Ming Ting, and Zhi-Hua Zhou. “Isolation Forest.” IEEE ICDM 2008, pp. 413–422.</w:t>
      </w:r>
    </w:p>
    <w:p>
      <w:pPr>
        <w:spacing w:after="120" w:before="0" w:line="240" w:lineRule="auto"/>
        <w:jc w:val="both"/>
      </w:pPr>
      <w:r>
        <w:rPr>
          <w:rFonts w:ascii="Times New Roman" w:cs="Times New Roman" w:eastAsia="Times New Roman" w:hAnsi="Times New Roman"/>
          <w:sz w:val="24"/>
          <w:szCs w:val="24"/>
        </w:rPr>
        <w:t xml:space="preserve">[9] Schulman, John, et al. “Proximal Policy Optimization Algorithms.” arXiv:1707.06347, 2017.</w:t>
      </w:r>
    </w:p>
    <w:p>
      <w:pPr>
        <w:spacing w:after="120" w:before="0" w:line="240" w:lineRule="auto"/>
        <w:jc w:val="both"/>
      </w:pPr>
      <w:r>
        <w:rPr>
          <w:rFonts w:ascii="Times New Roman" w:cs="Times New Roman" w:eastAsia="Times New Roman" w:hAnsi="Times New Roman"/>
          <w:sz w:val="24"/>
          <w:szCs w:val="24"/>
        </w:rPr>
        <w:t xml:space="preserve">[10] Harrod, Roy F. “An Essay in Dynamic Theory.” The Economic Journal, vol. 49, no. 193, 1939, pp. 14–33.</w:t>
      </w:r>
    </w:p>
    <w:p>
      <w:pPr>
        <w:spacing w:after="120" w:before="0" w:line="240" w:lineRule="auto"/>
        <w:jc w:val="both"/>
      </w:pPr>
      <w:r>
        <w:rPr>
          <w:rFonts w:ascii="Times New Roman" w:cs="Times New Roman" w:eastAsia="Times New Roman" w:hAnsi="Times New Roman"/>
          <w:sz w:val="24"/>
          <w:szCs w:val="24"/>
        </w:rPr>
        <w:t xml:space="preserve">[11] Solow, Robert M. “A Contribution to the Theory of Economic Growth.” QJE, vol. 70, no. 1, 1956, pp. 65–94.</w:t>
      </w:r>
    </w:p>
    <w:p>
      <w:pPr>
        <w:spacing w:after="120" w:before="0" w:line="240" w:lineRule="auto"/>
        <w:jc w:val="both"/>
      </w:pPr>
      <w:r>
        <w:rPr>
          <w:rFonts w:ascii="Times New Roman" w:cs="Times New Roman" w:eastAsia="Times New Roman" w:hAnsi="Times New Roman"/>
          <w:sz w:val="24"/>
          <w:szCs w:val="24"/>
        </w:rPr>
        <w:t xml:space="preserve">[12] Aschauer, David Alan. “Is Public Expenditure Productive?” Journal of Monetary Economics, vol. 23, no. 2, 1989, pp. 177–200.</w:t>
      </w:r>
    </w:p>
    <w:p>
      <w:pPr>
        <w:spacing w:after="120" w:before="0" w:line="240" w:lineRule="auto"/>
        <w:jc w:val="both"/>
      </w:pPr>
      <w:r>
        <w:rPr>
          <w:rFonts w:ascii="Times New Roman" w:cs="Times New Roman" w:eastAsia="Times New Roman" w:hAnsi="Times New Roman"/>
          <w:sz w:val="24"/>
          <w:szCs w:val="24"/>
        </w:rPr>
        <w:t xml:space="preserve">[13] Hamilton, James D. “A New Approach to the Economic Analysis of Nonstationary Time Series.” Econometrica, vol. 57, no. 2, 1989, pp. 357–384.</w:t>
      </w:r>
    </w:p>
    <w:p>
      <w:pPr>
        <w:spacing w:after="120" w:before="0" w:line="240" w:lineRule="auto"/>
        <w:jc w:val="both"/>
      </w:pPr>
      <w:r>
        <w:rPr>
          <w:rFonts w:ascii="Times New Roman" w:cs="Times New Roman" w:eastAsia="Times New Roman" w:hAnsi="Times New Roman"/>
          <w:sz w:val="24"/>
          <w:szCs w:val="24"/>
        </w:rPr>
        <w:t xml:space="preserve">[14] Barro, Robert J. “Economic Growth in a Cross Section of Countries.” QJE, vol. 106, no. 2, 1991, pp. 407–443.</w:t>
      </w:r>
    </w:p>
    <w:p>
      <w:pPr>
        <w:spacing w:after="120" w:before="0" w:line="240" w:lineRule="auto"/>
        <w:jc w:val="both"/>
      </w:pPr>
      <w:r>
        <w:rPr>
          <w:rFonts w:ascii="Times New Roman" w:cs="Times New Roman" w:eastAsia="Times New Roman" w:hAnsi="Times New Roman"/>
          <w:sz w:val="24"/>
          <w:szCs w:val="24"/>
        </w:rPr>
        <w:t xml:space="preserve">[15] Krugman, Paul. “Financing vs. Forgiving a Debt Overhang.” Journal of Development Economics, vol. 29, no. 3, 1988, pp. 253–268.</w:t>
      </w:r>
    </w:p>
    <w:p>
      <w:pPr>
        <w:spacing w:after="120" w:before="0" w:line="240" w:lineRule="auto"/>
        <w:jc w:val="both"/>
      </w:pPr>
      <w:r>
        <w:rPr>
          <w:rFonts w:ascii="Times New Roman" w:cs="Times New Roman" w:eastAsia="Times New Roman" w:hAnsi="Times New Roman"/>
          <w:sz w:val="24"/>
          <w:szCs w:val="24"/>
        </w:rPr>
        <w:t xml:space="preserve">[16] Henderson, J. Vernon. “The Urbanization Process and Economic Growth.” Journal of Economic Growth, vol. 8, no. 1, 2003, pp. 47–71.</w:t>
      </w:r>
    </w:p>
    <w:p>
      <w:pPr>
        <w:spacing w:after="120" w:before="0" w:line="240" w:lineRule="auto"/>
        <w:jc w:val="both"/>
      </w:pPr>
      <w:r>
        <w:rPr>
          <w:rFonts w:ascii="Times New Roman" w:cs="Times New Roman" w:eastAsia="Times New Roman" w:hAnsi="Times New Roman"/>
          <w:sz w:val="24"/>
          <w:szCs w:val="24"/>
        </w:rPr>
        <w:t xml:space="preserve">[17] Taylor, John B. “Aggregate Dynamics and Staggered Contracts.” JPE, vol. 88, no. 1, 1980, pp. 1–23.</w:t>
      </w:r>
    </w:p>
    <w:p>
      <w:pPr>
        <w:spacing w:after="120" w:before="0" w:line="240" w:lineRule="auto"/>
        <w:jc w:val="both"/>
      </w:pPr>
      <w:r>
        <w:rPr>
          <w:rFonts w:ascii="Times New Roman" w:cs="Times New Roman" w:eastAsia="Times New Roman" w:hAnsi="Times New Roman"/>
          <w:sz w:val="24"/>
          <w:szCs w:val="24"/>
        </w:rPr>
        <w:t xml:space="preserve">[18] Keynes, John Maynard. The General Theory of Employment, Interest and Money. Macmillan, 1936.</w:t>
      </w:r>
    </w:p>
    <w:p>
      <w:pPr>
        <w:spacing w:after="120" w:before="0" w:line="240" w:lineRule="auto"/>
        <w:jc w:val="both"/>
      </w:pPr>
      <w:r>
        <w:rPr>
          <w:rFonts w:ascii="Times New Roman" w:cs="Times New Roman" w:eastAsia="Times New Roman" w:hAnsi="Times New Roman"/>
          <w:sz w:val="24"/>
          <w:szCs w:val="24"/>
        </w:rPr>
        <w:t xml:space="preserve">[19] Guerrieri, Veronica, et al. “Macroeconomic Implications of COVID-19.” American Economic Review, vol. 112, no. 5, 2022, pp. 1437–1474.</w:t>
      </w:r>
    </w:p>
    <w:p>
      <w:pPr>
        <w:spacing w:after="120" w:before="0" w:line="240" w:lineRule="auto"/>
        <w:jc w:val="both"/>
      </w:pPr>
      <w:r>
        <w:rPr>
          <w:rFonts w:ascii="Times New Roman" w:cs="Times New Roman" w:eastAsia="Times New Roman" w:hAnsi="Times New Roman"/>
          <w:sz w:val="24"/>
          <w:szCs w:val="24"/>
        </w:rPr>
        <w:t xml:space="preserve">[20] Stock, James H., and Mark W. Watson. “Macroeconomic Forecasting Using Diffusion Indexes.” JBES, vol. 20, no. 2, 2002, pp. 147–162.</w:t>
      </w:r>
    </w:p>
    <w:p>
      <w:pPr>
        <w:spacing w:after="120" w:before="0" w:line="240" w:lineRule="auto"/>
        <w:jc w:val="both"/>
      </w:pPr>
      <w:r>
        <w:rPr>
          <w:rFonts w:ascii="Times New Roman" w:cs="Times New Roman" w:eastAsia="Times New Roman" w:hAnsi="Times New Roman"/>
          <w:sz w:val="24"/>
          <w:szCs w:val="24"/>
        </w:rPr>
        <w:t xml:space="preserve">[21] Alessi, Lucia, and Carsten Detken. “Quasi Real Time Early Warning Indicators.” EJPE, vol. 27, no. 3, 2011, pp. 520–533.</w:t>
      </w:r>
    </w:p>
    <w:p>
      <w:pPr>
        <w:spacing w:after="120" w:before="0" w:line="240" w:lineRule="auto"/>
        <w:jc w:val="both"/>
      </w:pPr>
      <w:r>
        <w:rPr>
          <w:rFonts w:ascii="Times New Roman" w:cs="Times New Roman" w:eastAsia="Times New Roman" w:hAnsi="Times New Roman"/>
          <w:sz w:val="24"/>
          <w:szCs w:val="24"/>
        </w:rPr>
        <w:t xml:space="preserve">[22] Taylor, John B. “Discretion versus Policy Rules in Practice.” Carnegie-Rochester Conference Series, vol. 39, 1993, pp. 195–214.</w:t>
      </w:r>
    </w:p>
    <w:p>
      <w:pPr>
        <w:spacing w:after="120" w:before="0" w:line="240" w:lineRule="auto"/>
        <w:jc w:val="both"/>
      </w:pPr>
      <w:r>
        <w:rPr>
          <w:rFonts w:ascii="Times New Roman" w:cs="Times New Roman" w:eastAsia="Times New Roman" w:hAnsi="Times New Roman"/>
          <w:sz w:val="24"/>
          <w:szCs w:val="24"/>
        </w:rPr>
        <w:t xml:space="preserve">[23] Ramey, Valerie A. “Can Government Purchases Stimulate the Economy?” JEL, vol. 49, no. 3, 2011, pp. 673–685.</w:t>
      </w:r>
    </w:p>
    <w:p>
      <w:pPr>
        <w:spacing w:after="120" w:before="0" w:line="240" w:lineRule="auto"/>
        <w:jc w:val="both"/>
      </w:pPr>
      <w:r>
        <w:rPr>
          <w:rFonts w:ascii="Times New Roman" w:cs="Times New Roman" w:eastAsia="Times New Roman" w:hAnsi="Times New Roman"/>
          <w:sz w:val="24"/>
          <w:szCs w:val="24"/>
        </w:rPr>
        <w:t xml:space="preserve">[24] Barro, Robert J., and Charles J. Redlick. “Macroeconomic Effects from Government Purchases and Taxes.” QJE, vol. 126, no. 1, 2011, pp. 51–102.</w:t>
      </w:r>
    </w:p>
    <w:p>
      <w:pPr>
        <w:spacing w:after="120" w:before="0" w:line="240" w:lineRule="auto"/>
        <w:jc w:val="both"/>
      </w:pPr>
      <w:r>
        <w:rPr>
          <w:rFonts w:ascii="Times New Roman" w:cs="Times New Roman" w:eastAsia="Times New Roman" w:hAnsi="Times New Roman"/>
          <w:sz w:val="24"/>
          <w:szCs w:val="24"/>
        </w:rPr>
        <w:t xml:space="preserve">[25] Calvo, Guillermo A. “Capital Flows and Capital-Market Crises.” Journal of Applied Economics, vol. 1, no. 1, 1998, pp. 35–54.</w:t>
      </w:r>
    </w:p>
    <w:p>
      <w:pPr>
        <w:spacing w:after="120" w:before="0" w:line="240" w:lineRule="auto"/>
        <w:jc w:val="both"/>
      </w:pPr>
      <w:r>
        <w:rPr>
          <w:rFonts w:ascii="Times New Roman" w:cs="Times New Roman" w:eastAsia="Times New Roman" w:hAnsi="Times New Roman"/>
          <w:sz w:val="24"/>
          <w:szCs w:val="24"/>
        </w:rPr>
        <w:t xml:space="preserve">[26] Reinhart, Carmen M., and Kenneth S. Rogoff. This Time Is Different. Princeton University Press, 2009.</w:t>
      </w:r>
    </w:p>
    <w:p>
      <w:pPr>
        <w:spacing w:after="120" w:before="0" w:line="240" w:lineRule="auto"/>
        <w:jc w:val="both"/>
      </w:pPr>
      <w:r>
        <w:rPr>
          <w:rFonts w:ascii="Times New Roman" w:cs="Times New Roman" w:eastAsia="Times New Roman" w:hAnsi="Times New Roman"/>
          <w:sz w:val="24"/>
          <w:szCs w:val="24"/>
        </w:rPr>
        <w:t xml:space="preserve">[27] Blanchard, Olivier, and Daniel Leigh. “Growth Forecast Errors and Fiscal Multipliers.” American Economic Review, vol. 103, no. 3, 2013, pp. 117–120.</w:t>
      </w:r>
    </w:p>
    <w:p>
      <w:pPr>
        <w:spacing w:after="120" w:before="0" w:line="240" w:lineRule="auto"/>
        <w:jc w:val="both"/>
      </w:pPr>
      <w:r>
        <w:rPr>
          <w:rFonts w:ascii="Times New Roman" w:cs="Times New Roman" w:eastAsia="Times New Roman" w:hAnsi="Times New Roman"/>
          <w:sz w:val="24"/>
          <w:szCs w:val="24"/>
        </w:rPr>
        <w:t xml:space="preserve">[28] Furceri, Davide, et al. “The Spillover Effects of Government Spending Shocks.” IMF Working Paper WP/16/149, 2016.</w:t>
      </w:r>
    </w:p>
    <w:p>
      <w:pPr>
        <w:spacing w:after="60" w:before="0"/>
      </w:pPr>
    </w:p>
    <w:p>
      <w:pPr>
        <w:spacing w:after="0" w:before="0" w:line="240" w:lineRule="auto"/>
        <w:jc w:val="center"/>
      </w:pPr>
      <w:r>
        <w:rPr>
          <w:rFonts w:ascii="Times New Roman" w:cs="Times New Roman" w:eastAsia="Times New Roman" w:hAnsi="Times New Roman"/>
          <w:i/>
          <w:iCs/>
          <w:sz w:val="20"/>
          <w:szCs w:val="20"/>
        </w:rPr>
        <w:t xml:space="preserve">MAKOTO  |  Khan  |  McLean High School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2026-05-30T15:46:44.849Z</dcterms:created>
  <dcterms:modified xsi:type="dcterms:W3CDTF">2026-05-30T15:46:44.864Z</dcterms:modified>
</cp:coreProperties>
</file>

<file path=docProps/custom.xml><?xml version="1.0" encoding="utf-8"?>
<Properties xmlns="http://schemas.openxmlformats.org/officeDocument/2006/custom-properties" xmlns:vt="http://schemas.openxmlformats.org/officeDocument/2006/docPropsVTypes"/>
</file>