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rFonts w:ascii="Times New Roman" w:cs="Times New Roman" w:eastAsia="Times New Roman" w:hAnsi="Times New Roman"/>
          <w:sz w:val="28"/>
          <w:szCs w:val="28"/>
        </w:rPr>
      </w:pPr>
      <w:bookmarkStart w:colFirst="0" w:colLast="0" w:name="_hk01612iiuhm" w:id="0"/>
      <w:bookmarkEnd w:id="0"/>
      <w:r w:rsidDel="00000000" w:rsidR="00000000" w:rsidRPr="00000000">
        <w:rPr>
          <w:rFonts w:ascii="Times New Roman" w:cs="Times New Roman" w:eastAsia="Times New Roman" w:hAnsi="Times New Roman"/>
          <w:sz w:val="28"/>
          <w:szCs w:val="28"/>
          <w:rtl w:val="0"/>
        </w:rPr>
        <w:t xml:space="preserve">DOLE OSHS SAFETY ASSISTANT: A RETRIEVAL-AUGMENTED GENERATION CHATBOT FOR PHILIPPINE OCCUPATIONAL SAFETY AND HEALTH COMPLIANCE</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Style w:val="Subtitle"/>
        <w:rPr>
          <w:sz w:val="24"/>
          <w:szCs w:val="24"/>
        </w:rPr>
      </w:pPr>
      <w:bookmarkStart w:colFirst="0" w:colLast="0" w:name="_gdkjb7zblxv1" w:id="1"/>
      <w:bookmarkEnd w:id="1"/>
      <w:r w:rsidDel="00000000" w:rsidR="00000000" w:rsidRPr="00000000">
        <w:rPr>
          <w:rtl w:val="0"/>
        </w:rPr>
        <w:t xml:space="preserve">A Thesis Submitted in Partial Fulfillment of the Requirements for the Degree of</w:t>
      </w:r>
      <w:r w:rsidDel="00000000" w:rsidR="00000000" w:rsidRPr="00000000">
        <w:rPr>
          <w:rtl w:val="0"/>
        </w:rPr>
        <w:t xml:space="preserve"> </w:t>
      </w:r>
      <w:r w:rsidDel="00000000" w:rsidR="00000000" w:rsidRPr="00000000">
        <w:rPr>
          <w:rtl w:val="0"/>
        </w:rPr>
        <w:t xml:space="preserve">Bachelor of Science in Computer Science</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Style w:val="Subtitle"/>
        <w:jc w:val="center"/>
        <w:rPr/>
      </w:pPr>
      <w:bookmarkStart w:colFirst="0" w:colLast="0" w:name="_fsls32cwd7i7" w:id="2"/>
      <w:bookmarkEnd w:id="2"/>
      <w:r w:rsidDel="00000000" w:rsidR="00000000" w:rsidRPr="00000000">
        <w:rPr>
          <w:rtl w:val="0"/>
        </w:rPr>
        <w:t xml:space="preserve">By N.K. Legado, R. Pua, L.J. Villar</w:t>
      </w:r>
    </w:p>
    <w:p w:rsidR="00000000" w:rsidDel="00000000" w:rsidP="00000000" w:rsidRDefault="00000000" w:rsidRPr="00000000" w14:paraId="0000001D">
      <w:pPr>
        <w:pStyle w:val="Subtitle"/>
        <w:jc w:val="center"/>
        <w:rPr/>
      </w:pPr>
      <w:bookmarkStart w:colFirst="0" w:colLast="0" w:name="_eik2ybwr6dl0" w:id="3"/>
      <w:bookmarkEnd w:id="3"/>
      <w:r w:rsidDel="00000000" w:rsidR="00000000" w:rsidRPr="00000000">
        <w:rPr>
          <w:rtl w:val="0"/>
        </w:rPr>
        <w:t xml:space="preserve">Mapua University</w:t>
      </w:r>
    </w:p>
    <w:p w:rsidR="00000000" w:rsidDel="00000000" w:rsidP="00000000" w:rsidRDefault="00000000" w:rsidRPr="00000000" w14:paraId="0000001E">
      <w:pPr>
        <w:pStyle w:val="Subtitle"/>
        <w:jc w:val="center"/>
        <w:rPr/>
      </w:pPr>
      <w:bookmarkStart w:colFirst="0" w:colLast="0" w:name="_bxuavv8rz5v5" w:id="4"/>
      <w:bookmarkEnd w:id="4"/>
      <w:r w:rsidDel="00000000" w:rsidR="00000000" w:rsidRPr="00000000">
        <w:rPr>
          <w:rtl w:val="0"/>
        </w:rPr>
        <w:t xml:space="preserve">School of Information Technology</w:t>
      </w:r>
    </w:p>
    <w:p w:rsidR="00000000" w:rsidDel="00000000" w:rsidP="00000000" w:rsidRDefault="00000000" w:rsidRPr="00000000" w14:paraId="0000001F">
      <w:pPr>
        <w:pStyle w:val="Subtitle"/>
        <w:jc w:val="center"/>
        <w:rPr/>
      </w:pPr>
      <w:bookmarkStart w:colFirst="0" w:colLast="0" w:name="_t67soj7p17hm" w:id="5"/>
      <w:bookmarkEnd w:id="5"/>
      <w:r w:rsidDel="00000000" w:rsidR="00000000" w:rsidRPr="00000000">
        <w:rPr>
          <w:rtl w:val="0"/>
        </w:rPr>
        <w:t xml:space="preserve">Bachelor of Computer Science</w:t>
      </w:r>
    </w:p>
    <w:p w:rsidR="00000000" w:rsidDel="00000000" w:rsidP="00000000" w:rsidRDefault="00000000" w:rsidRPr="00000000" w14:paraId="00000020">
      <w:pPr>
        <w:pStyle w:val="Subtitle"/>
        <w:rPr/>
      </w:pPr>
      <w:bookmarkStart w:colFirst="0" w:colLast="0" w:name="_r2z0sqjot7j4" w:id="6"/>
      <w:bookmarkEnd w:id="6"/>
      <w:r w:rsidDel="00000000" w:rsidR="00000000" w:rsidRPr="00000000">
        <w:rPr>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sectPr>
          <w:pgSz w:h="15840" w:w="12240" w:orient="portrait"/>
          <w:pgMar w:bottom="1440" w:top="1440" w:left="1440" w:right="1440" w:header="720" w:footer="720"/>
          <w:pgNumType w:start="1"/>
        </w:sectPr>
      </w:pPr>
      <w:bookmarkStart w:colFirst="0" w:colLast="0" w:name="_kawa6uefilt" w:id="7"/>
      <w:bookmarkEnd w:id="7"/>
      <w:r w:rsidDel="00000000" w:rsidR="00000000" w:rsidRPr="00000000">
        <w:rPr>
          <w:rtl w:val="0"/>
        </w:rPr>
      </w:r>
    </w:p>
    <w:p w:rsidR="00000000" w:rsidDel="00000000" w:rsidP="00000000" w:rsidRDefault="00000000" w:rsidRPr="00000000" w14:paraId="00000022">
      <w:pPr>
        <w:pStyle w:val="Heading1"/>
        <w:rPr>
          <w:sz w:val="24"/>
          <w:szCs w:val="24"/>
        </w:rPr>
      </w:pPr>
      <w:bookmarkStart w:colFirst="0" w:colLast="0" w:name="_jedcwxdee5o5" w:id="8"/>
      <w:bookmarkEnd w:id="8"/>
      <w:r w:rsidDel="00000000" w:rsidR="00000000" w:rsidRPr="00000000">
        <w:rPr>
          <w:sz w:val="24"/>
          <w:szCs w:val="24"/>
          <w:rtl w:val="0"/>
        </w:rPr>
        <w:t xml:space="preserve">ABSTRACT</w:t>
      </w:r>
    </w:p>
    <w:p w:rsidR="00000000" w:rsidDel="00000000" w:rsidP="00000000" w:rsidRDefault="00000000" w:rsidRPr="00000000" w14:paraId="00000023">
      <w:pPr>
        <w:pStyle w:val="Heading3"/>
        <w:jc w:val="both"/>
        <w:rPr/>
      </w:pPr>
      <w:bookmarkStart w:colFirst="0" w:colLast="0" w:name="_qxrghtisim30" w:id="9"/>
      <w:bookmarkEnd w:id="9"/>
      <w:r w:rsidDel="00000000" w:rsidR="00000000" w:rsidRPr="00000000">
        <w:rPr>
          <w:rtl w:val="0"/>
        </w:rPr>
        <w:t xml:space="preserve">This study presents the design, development, and evaluation of a retrieval-augmented generation (RAG) chatbot tailored for the Philippine Department of Labor and Employment (DOLE) Occupational Safety and Health Standards (OSHS). Navigating the dense, hierarchically structured OSHS handbook presents a significant information bottleneck for safety officers, employers, and workers seeking rapid regulatory guidance. Standard large language models (LLMs) are unsuitable for this domain in isolation, as they are prone to hallucination and lack authoritative knowledge of localized policy documents. To address this, the proposed system grounds all responses exclusively in the official DOLE OSHS PDF using a structure-aware processing pipeline, BAAI/bge-small-en-v1.5 embeddings (selected through a rigorous four-model ablation study), a persistent ChromaDB vector database, and Meta's Llama 3.1 8B Instruct model loaded under 4-bit NF4 quantization. The system was evaluated on a golden dataset of five unseen benchmark queries spanning technical, policy, cross-lingual, and out-of-domain categories. Results show an average relevance of 4.4/5.0 (88%), average accuracy of 4.4/5.0 (88%), and average faithfulness of 4.2/5.0 (84%). The system demonstrated robust hallucination suppression, correctly refusing to generate unsupported answers for four out of five test cases. A single failure was identified in cross-lingual (Taglish) queries, attributed to cross-lingual prompt leakage, and directions for remediation are discussed. A Gradio-based web interface was deployed to provide an accessible, interactive safety assistant for end users.</w:t>
      </w:r>
    </w:p>
    <w:p w:rsidR="00000000" w:rsidDel="00000000" w:rsidP="00000000" w:rsidRDefault="00000000" w:rsidRPr="00000000" w14:paraId="00000024">
      <w:pPr>
        <w:pStyle w:val="Heading3"/>
        <w:jc w:val="both"/>
        <w:rPr/>
      </w:pPr>
      <w:bookmarkStart w:colFirst="0" w:colLast="0" w:name="_5u3s4hx83a21" w:id="10"/>
      <w:bookmarkEnd w:id="10"/>
      <w:r w:rsidDel="00000000" w:rsidR="00000000" w:rsidRPr="00000000">
        <w:rPr>
          <w:rtl w:val="0"/>
        </w:rPr>
      </w:r>
    </w:p>
    <w:p w:rsidR="00000000" w:rsidDel="00000000" w:rsidP="00000000" w:rsidRDefault="00000000" w:rsidRPr="00000000" w14:paraId="00000025">
      <w:pPr>
        <w:pStyle w:val="Heading3"/>
        <w:jc w:val="both"/>
        <w:rPr/>
      </w:pPr>
      <w:bookmarkStart w:colFirst="0" w:colLast="0" w:name="_g20pyzyluzs1" w:id="11"/>
      <w:bookmarkEnd w:id="11"/>
      <w:r w:rsidDel="00000000" w:rsidR="00000000" w:rsidRPr="00000000">
        <w:rPr>
          <w:b w:val="1"/>
          <w:bCs w:val="1"/>
          <w:rtl w:val="0"/>
        </w:rPr>
        <w:t xml:space="preserve">Keywords</w:t>
      </w:r>
      <w:r w:rsidDel="00000000" w:rsidR="00000000" w:rsidRPr="00000000">
        <w:rPr>
          <w:rtl w:val="0"/>
        </w:rPr>
        <w:t xml:space="preserve">: Retrieval-Augmented Generation, Large Language Models, Occupational Safety and Health, Natural Language Processing, Hallucination Mitigation, Vector Database, LangChain, Philippine Labor Standards</w:t>
      </w:r>
    </w:p>
    <w:p w:rsidR="00000000" w:rsidDel="00000000" w:rsidP="00000000" w:rsidRDefault="00000000" w:rsidRPr="00000000" w14:paraId="00000026">
      <w:pPr>
        <w:pStyle w:val="Heading3"/>
        <w:jc w:val="both"/>
        <w:rPr/>
      </w:pPr>
      <w:bookmarkStart w:colFirst="0" w:colLast="0" w:name="_7gkygi4rv6ns" w:id="12"/>
      <w:bookmarkEnd w:id="12"/>
      <w:r w:rsidDel="00000000" w:rsidR="00000000" w:rsidRPr="00000000">
        <w:rPr>
          <w:rtl w:val="0"/>
        </w:rPr>
        <w:tab/>
      </w:r>
    </w:p>
    <w:p w:rsidR="00000000" w:rsidDel="00000000" w:rsidP="00000000" w:rsidRDefault="00000000" w:rsidRPr="00000000" w14:paraId="00000027">
      <w:pPr>
        <w:pStyle w:val="Heading1"/>
        <w:rPr/>
      </w:pPr>
      <w:bookmarkStart w:colFirst="0" w:colLast="0" w:name="_tb0ar9iq9y6h" w:id="13"/>
      <w:bookmarkEnd w:id="13"/>
      <w:r w:rsidDel="00000000" w:rsidR="00000000" w:rsidRPr="00000000">
        <w:rPr>
          <w:rtl w:val="0"/>
        </w:rPr>
        <w:t xml:space="preserve">CHAPTER 1</w:t>
      </w:r>
    </w:p>
    <w:p w:rsidR="00000000" w:rsidDel="00000000" w:rsidP="00000000" w:rsidRDefault="00000000" w:rsidRPr="00000000" w14:paraId="00000028">
      <w:pPr>
        <w:pStyle w:val="Heading1"/>
        <w:rPr/>
      </w:pPr>
      <w:bookmarkStart w:colFirst="0" w:colLast="0" w:name="_rlbcedbh2xn7" w:id="14"/>
      <w:bookmarkEnd w:id="14"/>
      <w:r w:rsidDel="00000000" w:rsidR="00000000" w:rsidRPr="00000000">
        <w:rPr>
          <w:rtl w:val="0"/>
        </w:rPr>
        <w:t xml:space="preserve"> INTRODUCTION</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Style w:val="Heading2"/>
        <w:ind w:left="0" w:firstLine="0"/>
        <w:jc w:val="both"/>
        <w:rPr/>
      </w:pPr>
      <w:bookmarkStart w:colFirst="0" w:colLast="0" w:name="_i9f6sjxyveyb" w:id="15"/>
      <w:bookmarkEnd w:id="15"/>
      <w:r w:rsidDel="00000000" w:rsidR="00000000" w:rsidRPr="00000000">
        <w:rPr>
          <w:rtl w:val="0"/>
        </w:rPr>
        <w:t xml:space="preserve">1.1 Background of the Study</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2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Workplace safety is a foundational obligation of both employers and the state. In the Philippines, this obligation is codified in the Occupational Safety and Health Standards (OSHS), an official handbook issued and regularly amended by the Department of Labor and Employment (DOLE). The OSHS is a dense, hierarchically structured regulatory document comprising hundreds of rules, sub-sections, and technical matrices governing everything from scaffold dimensions to threshold limit values for airborne chemical contaminants. For safety officers, employers, and ordinary workers, navigating this document manually is a time-consuming, error-prone process that creates a critical "information bottleneck" in day-to-day compliance workflows.</w:t>
      </w:r>
    </w:p>
    <w:p w:rsidR="00000000" w:rsidDel="00000000" w:rsidP="00000000" w:rsidRDefault="00000000" w:rsidRPr="00000000" w14:paraId="0000002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advancement of large language models (LLMs) has opened new avenues for intelligent document interaction. General-purpose LLMs such as GPT-4 and Meta's Llama family can answer natural language questions with remarkable fluency, but they are fundamentally unreliable for domain-specific, legally sensitive queries. LLMs are prone to "hallucination," wherein the model generates factually incorrect or fabricated information stated with apparent confidence [1]. In high-stakes domains such as occupational safety, a hallucinated response — for instance, a fabricated threshold limit value for a toxic substance — could lead to non-compliance, injury, or death. Furthermore, general LLMs have no innate knowledge of localized Philippine regulatory documents and cannot be trusted to accurately reflect the most recent amendments to the OSHS.</w:t>
      </w:r>
    </w:p>
    <w:p w:rsidR="00000000" w:rsidDel="00000000" w:rsidP="00000000" w:rsidRDefault="00000000" w:rsidRPr="00000000" w14:paraId="0000003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Retrieval-Augmented Generation (RAG) is a framework designed to overcome precisely these limitations. Originally proposed by Lewis et al. [1], RAG combines the generative capabilities of an LLM with a non-parametric external knowledge source. Rather than relying solely on the model's pre-trained weights, the system retrieves relevant document chunks from a curated knowledge base and injects them into the LLM's prompt as context. This approach grounds the model's outputs in verifiable, authoritative source material, substantially reducing hallucination and enabling the use of closed-corpus, domain-specific documents as the sole knowledge source [2].</w:t>
      </w:r>
    </w:p>
    <w:p w:rsidR="00000000" w:rsidDel="00000000" w:rsidP="00000000" w:rsidRDefault="00000000" w:rsidRPr="00000000" w14:paraId="0000003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develops an end-to-end RAG chatbot, referred to as the DOLE OSHS Safety Assistant, that enables natural language querying of the official DOLE OSHS handbook. The system is designed to serve as an interactive compliance assistant, allowing users to pose questions in plain English — or in code-switched Filipino-English (Taglish) — and receive answers grounded exclusively in the retrieved OSHS text, complete with rule number and page citations.</w:t>
      </w:r>
    </w:p>
    <w:p w:rsidR="00000000" w:rsidDel="00000000" w:rsidP="00000000" w:rsidRDefault="00000000" w:rsidRPr="00000000" w14:paraId="0000003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2"/>
        <w:ind w:left="0" w:firstLine="0"/>
        <w:jc w:val="both"/>
        <w:rPr/>
      </w:pPr>
      <w:bookmarkStart w:colFirst="0" w:colLast="0" w:name="_uqb8az62da0p" w:id="16"/>
      <w:bookmarkEnd w:id="16"/>
      <w:r w:rsidDel="00000000" w:rsidR="00000000" w:rsidRPr="00000000">
        <w:rPr>
          <w:rtl w:val="0"/>
        </w:rPr>
        <w:t xml:space="preserve">1.2 Statement of the Problem</w:t>
      </w:r>
    </w:p>
    <w:p w:rsidR="00000000" w:rsidDel="00000000" w:rsidP="00000000" w:rsidRDefault="00000000" w:rsidRPr="00000000" w14:paraId="0000003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problems motivate this study:</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DOLE OSHS handbook is an extensive, technical document that is difficult to navigate manually, leading to inefficient information retrieval and potential compliance failures.</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large language models, when queried about OSHS regulations, are prone to generating hallucinated or unverifiable responses that cannot be safely relied upon in workplace safety contexts.</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publicly available, interactive natural language interface exists specifically for the Philippine DOLE OSHS handbook that guarantees retrieval-grounded, non-hallucinated responses.</w:t>
      </w:r>
    </w:p>
    <w:p w:rsidR="00000000" w:rsidDel="00000000" w:rsidP="00000000" w:rsidRDefault="00000000" w:rsidRPr="00000000" w14:paraId="0000003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Filipino workers and safety officers often pose queries in code-switched Tagalog-English, a linguistic pattern that poses a challenge to purely English-oriented language models and retrieval systems.</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2"/>
        <w:jc w:val="both"/>
        <w:rPr/>
      </w:pPr>
      <w:bookmarkStart w:colFirst="0" w:colLast="0" w:name="_hqsuy64p0z7" w:id="17"/>
      <w:bookmarkEnd w:id="17"/>
      <w:r w:rsidDel="00000000" w:rsidR="00000000" w:rsidRPr="00000000">
        <w:rPr>
          <w:rtl w:val="0"/>
        </w:rPr>
        <w:t xml:space="preserve">1.3 Objectives of the Study</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objective of this study is to design, implement, and evaluate a RAG-based chatbot for the DOLE OSHS handbook that provides reliable, hallucination-free answers to natural language safety and compliance queries.</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objectives are as follows:</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a structure-aware preprocessing pipeline that transforms the OSHS PDF into a clean, semantically rich vector knowledge base suitable for dense retrieval.</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conduct a systematic ablation study comparing four candidate sentence embedding models on OSHS-specific retrieval tasks, and select the best-performing model.</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implement a closed-corpus RAG pipeline using Llama 3.1 8B Instruct as the generative backbone, with a prompt template that enforces strict grounding and prevents hallucination.</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system on a set of unseen benchmark queries across multiple query categories, including technical lookups, policy questions, out-of-domain queries, and Taglish queries. To deploy the system as a Gradio-based web interface accessible to end users in an interactive chat format.</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2"/>
        <w:rPr/>
      </w:pPr>
      <w:bookmarkStart w:colFirst="0" w:colLast="0" w:name="_dwcuf38ai0r7" w:id="18"/>
      <w:bookmarkEnd w:id="18"/>
      <w:r w:rsidDel="00000000" w:rsidR="00000000" w:rsidRPr="00000000">
        <w:rPr>
          <w:rtl w:val="0"/>
        </w:rPr>
        <w:t xml:space="preserve">1.4 Significance of the Study</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contributes to multiple stakeholder groups. For safety officers and employers, the system provides an always-available, instantly accurate compliance reference, reducing the time spent manually searching the OSHS handbook. For ordinary workers, particularly those in construction, manufacturing, and hazardous industries, it democratizes access to complex regulatory information in a conversational format. For Philippine policymakers and DOLE, the system demonstrates the feasibility of AI-powered regulatory assistants grounded in official government publications.</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technical perspective, this study contributes an empirical embedding model comparison on a localized Philippine legal corpus, a structure-aware chunking strategy tailored to hierarchical regulatory documents, and a documented cross-lingual failure mode (Taglish prompt leakage) with proposed remediation strategies. These contributions are relevant to the growing literature on domain-specific RAG systems [2] and legal NLP [10].</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2"/>
        <w:ind w:left="0" w:firstLine="0"/>
        <w:jc w:val="both"/>
        <w:rPr/>
      </w:pPr>
      <w:bookmarkStart w:colFirst="0" w:colLast="0" w:name="_2b8ggvggkxq7" w:id="19"/>
      <w:bookmarkEnd w:id="19"/>
      <w:r w:rsidDel="00000000" w:rsidR="00000000" w:rsidRPr="00000000">
        <w:rPr>
          <w:rtl w:val="0"/>
        </w:rPr>
        <w:t xml:space="preserve">1.5 Scope and Limitations</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scoped exclusively to the DOLE OSHS handbook (Osh-Handbook.pdf) as issued by DOLE. The system does not incorporate supplemental DOLE department orders, labor advisories, or external legal databases. All evaluation was conducted manually on a small benchmark set of five unseen queries; automated large-scale evaluation using frameworks such as RAGAS or TruLens is deferred to future work. The system was developed and tested on a Google Colab Pro environment with an NVIDIA T4 GPU; production deployment on other hardware platforms has not been validated.</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1"/>
        <w:jc w:val="both"/>
        <w:rPr/>
      </w:pPr>
      <w:bookmarkStart w:colFirst="0" w:colLast="0" w:name="_6uwt07rmgqle" w:id="20"/>
      <w:bookmarkEnd w:id="20"/>
      <w:r w:rsidDel="00000000" w:rsidR="00000000" w:rsidRPr="00000000">
        <w:rPr>
          <w:rtl w:val="0"/>
        </w:rPr>
        <w:t xml:space="preserve">CHAPTER 2</w:t>
      </w:r>
    </w:p>
    <w:p w:rsidR="00000000" w:rsidDel="00000000" w:rsidP="00000000" w:rsidRDefault="00000000" w:rsidRPr="00000000" w14:paraId="00000054">
      <w:pPr>
        <w:pStyle w:val="Heading1"/>
        <w:jc w:val="both"/>
        <w:rPr/>
      </w:pPr>
      <w:bookmarkStart w:colFirst="0" w:colLast="0" w:name="_9x5a8oskws86" w:id="21"/>
      <w:bookmarkEnd w:id="21"/>
      <w:r w:rsidDel="00000000" w:rsidR="00000000" w:rsidRPr="00000000">
        <w:rPr>
          <w:rtl w:val="0"/>
        </w:rPr>
        <w:t xml:space="preserve">REVIEW OF RELATED LITERATURE</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2"/>
        <w:ind w:left="0" w:firstLine="0"/>
        <w:jc w:val="both"/>
        <w:rPr/>
      </w:pPr>
      <w:bookmarkStart w:colFirst="0" w:colLast="0" w:name="_jqppwem61dpe" w:id="22"/>
      <w:bookmarkEnd w:id="22"/>
      <w:r w:rsidDel="00000000" w:rsidR="00000000" w:rsidRPr="00000000">
        <w:rPr>
          <w:rtl w:val="0"/>
        </w:rPr>
        <w:t xml:space="preserve">2.1 Retrieval-Augmented Generation</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RAG framework was formally introduced by Lewis et al. [1] as a general-purpose approach to augmenting pre-trained language models with non-parametric external memory. The original RAG architecture couples a Dense Passage Retriever (DPR) with a BART-based generative model, retrieving relevant Wikipedia passages as context for open-domain question answering. Lewis et al. demonstrated that RAG models generate more specific, diverse, and factual text than purely parametric seq2seq baselines, establishing retrieval-grounded generation as a leading strategy for knowledge-intensive NLP tasks.</w:t>
      </w:r>
    </w:p>
    <w:p w:rsidR="00000000" w:rsidDel="00000000" w:rsidP="00000000" w:rsidRDefault="00000000" w:rsidRPr="00000000" w14:paraId="0000005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Subsequent work by Gao et al. [2] provides a comprehensive survey of the RAG paradigm as applied to modern LLMs. Gao et al. categorize RAG systems along three axes: Naive RAG (simple retrieve-then-generate pipelines), Advanced RAG (incorporating pre-retrieval query optimization and post-retrieval re-ranking), and Modular RAG (flexible, component-swappable architectures). The survey identifies hallucination in the generation phase and retrieval quality degradation as the two primary failure modes of RAG systems, noting that improving retrieval is the highest-leverage path to improving overall system faithfulness. The present study's design directly addresses this finding through its structure-aware chunking strategy and multi-model ablation study.</w:t>
      </w:r>
    </w:p>
    <w:p w:rsidR="00000000" w:rsidDel="00000000" w:rsidP="00000000" w:rsidRDefault="00000000" w:rsidRPr="00000000" w14:paraId="0000005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2"/>
        <w:jc w:val="both"/>
        <w:rPr/>
      </w:pPr>
      <w:bookmarkStart w:colFirst="0" w:colLast="0" w:name="_frqcp5mic1y3" w:id="23"/>
      <w:bookmarkEnd w:id="23"/>
      <w:r w:rsidDel="00000000" w:rsidR="00000000" w:rsidRPr="00000000">
        <w:rPr>
          <w:rtl w:val="0"/>
        </w:rPr>
        <w:t xml:space="preserve">2.2 Hallucination in Large Language Models and Mitigation Strategies</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Hallucination, the tendency of LLMs to generate confident but factually incorrect statements is a well-documented and fundamental limitation of the current generation of language models. In safety-critical and legally sensitive domains, hallucination is particularly dangerous, as fabricated technical values or incorrect policy descriptions can have real-world consequences. Ayala and Bechard [8] demonstrated that RAG substantially reduces hallucination in structured output tasks by anchoring generation in retrieved context, and showed that a small, well-trained retriever can reduce the size of the required LLM without sacrificing performance. Their findings directly support the design choice in this study to use a lightweight BGE-small embedding model paired with a quantized Llama 3.1 8B backbone.</w:t>
      </w:r>
    </w:p>
    <w:p w:rsidR="00000000" w:rsidDel="00000000" w:rsidP="00000000" w:rsidRDefault="00000000" w:rsidRPr="00000000" w14:paraId="0000006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Song et al. [9] introduced RAG-HAT, a hallucination-aware tuning pipeline that trains a dedicated detection model to identify and correct hallucinations in RAG-generated outputs. While RAG-HAT relies on fine-tuning with a preference dataset derived from GPT-4 Turbo corrections, the present study achieves hallucination suppression through a simpler but highly effective prompt engineering strategy: a strict English-language refusal constraint instructs the model to output a fixed fallback phrase when retrieved context is insufficient to support an answer. This zero-training approach proved highly effective for English queries, correctly refusing in four out of five test cases.</w:t>
      </w:r>
    </w:p>
    <w:p w:rsidR="00000000" w:rsidDel="00000000" w:rsidP="00000000" w:rsidRDefault="00000000" w:rsidRPr="00000000" w14:paraId="0000006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2"/>
        <w:jc w:val="both"/>
        <w:rPr/>
      </w:pPr>
      <w:bookmarkStart w:colFirst="0" w:colLast="0" w:name="_i85j7gvhsg3x" w:id="24"/>
      <w:bookmarkEnd w:id="24"/>
      <w:r w:rsidDel="00000000" w:rsidR="00000000" w:rsidRPr="00000000">
        <w:rPr>
          <w:rtl w:val="0"/>
        </w:rPr>
        <w:t xml:space="preserve">2.3 RAG in Legal and Regulatory Domains</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of RAG to legal and regulatory documents is a growing area of research. Hindi et al. [10] conducted a systematic survey of RAG methods in the legal domain, covering applications in privacy law, legislative text interpretation, public law, criminal law, and statutory compliance. The survey finds that dense retrieval methods — such as those using BERT-derived sentence encoders — consistently outperform sparse retrievers like BM25 for capturing semantic similarity in legal texts. The survey also notes that the hierarchical, citation-dense structure of legal documents presents unique challenges for standard chunking strategies, motivating structure-aware approaches such as the one developed in this study.</w:t>
      </w:r>
    </w:p>
    <w:p w:rsidR="00000000" w:rsidDel="00000000" w:rsidP="00000000" w:rsidRDefault="00000000" w:rsidRPr="00000000" w14:paraId="0000006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Wiratunga et al. [11] proposed CBR-RAG, a case-based reasoning extension to RAG for legal question answering, demonstrating that structuring retrieval around legal precedent cases significantly improves answer quality over standard RAG baselines. While the OSHS corpus does not contain case precedents, the principle of retrieval-guided contextual grounding is directly applicable and forms the theoretical basis of the present system's retrieval pipeline.</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Sentence Embedding Models for Dense Retrieval</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retrieval depends critically on the quality of the embedding model used to map both queries and document chunks into a shared semantic vector space. Reimers and Gurevych [4] introduced Sentence-BERT (SBERT), the foundational framework for producing semantically meaningful sentence embeddings via siamese BERT network structures. SBERT demonstrated that semantically comparable sentence representations can be generated orders of magnitude more efficiently than pair-wise BERT inference, enabling practical large-scale similarity search. The all-MiniLM-L6-v2 and all-mpnet-base-v2 models used as baseline comparisons in this study's ablation experiment are both derived from the SBERT family.</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Xiao et al. [5] introduced the BAAI General Embedding (BGE) model family, which ranked first on the Massive Text Embedding Benchmark (MTEB) at the time of release. BGE models are trained using contrastive learning on large-scale text pairs and incorporate RetroMAE pre-training for enhanced retrieval performance. The bge-small-en-v1.5 variant, selected in this study, was specifically designed to balance embedding quality with computational efficiency, making it appropriate for deployment on resource-constrained hardware such as the Colab T4 GPU used in this research.</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Large Language Models for Instruction Following</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Llama 3 family of models, introduced by Grattafiori et al. [3], represents the current state of the art in open-weight instruction-following LLMs. Llama 3.1 8B Instruct, used as the generative backbone in this study, was pre-trained on a high-quality multilingual dataset and post-trained using supervised fine-tuning (SFT) and reinforcement learning from human feedback (RLHF) to maximize instruction-following accuracy, safety, and factual grounding. The 8B parameter size was selected for this study as a balance between generation quality and GPU memory constraints.</w:t>
      </w:r>
    </w:p>
    <w:p w:rsidR="00000000" w:rsidDel="00000000" w:rsidP="00000000" w:rsidRDefault="00000000" w:rsidRPr="00000000" w14:paraId="0000007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fit the Llama 3.1 8B model within the memory of an NVIDIA T4 GPU, this study employed 4-bit NF4 quantization using the BitsAndBytes library, as formalized by Dettmers et al. [7] in the QLoRA paper. This approach quantizes model weights to a 4-bit NormalFloat format with double quantization for the scaling constants, reducing the model's memory footprint from approximately 16 GB (BF16) to approximately 4–5 GB without significant degradation in generation quality. The NF4 data type is theoretically optimal for normally distributed weight tensors, a property that holds for most transformer model weights [6].</w:t>
      </w:r>
    </w:p>
    <w:p w:rsidR="00000000" w:rsidDel="00000000" w:rsidP="00000000" w:rsidRDefault="00000000" w:rsidRPr="00000000" w14:paraId="0000007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2"/>
        <w:jc w:val="both"/>
        <w:rPr/>
      </w:pPr>
      <w:bookmarkStart w:colFirst="0" w:colLast="0" w:name="_yjtbfhnrzudk" w:id="25"/>
      <w:bookmarkEnd w:id="25"/>
      <w:r w:rsidDel="00000000" w:rsidR="00000000" w:rsidRPr="00000000">
        <w:rPr>
          <w:rtl w:val="0"/>
        </w:rPr>
        <w:t xml:space="preserve">2.6 Philippine Occupational Safety and Health Context</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DOLE OSHS is the primary legal and regulatory framework governing workplace safety in the Philippines. Enacted under Republic Act No. 11058 (2018) and enforced by DOLE's Bureau of Working Conditions, the OSHS establishes binding standards on hazard prevention, medical services, chemical exposure limits, safety officer requirements, fire protection, and more. Despite its critical importance, the OSHS remains an under-digitized document, with workers and employers typically relying on manual searches through the printed or PDF version of the handbook. The DOLE's National Occupational Safety and Health Strategy 2024–2028 [12] identifies knowledge dissemination and accessibility as core priorities, explicitly recognizing that barriers to understanding OSH regulations are a major contributor to the country's workplace accident and disease burden.</w:t>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1"/>
        <w:jc w:val="both"/>
        <w:rPr/>
      </w:pPr>
      <w:bookmarkStart w:colFirst="0" w:colLast="0" w:name="_2zy6y8o0p573" w:id="26"/>
      <w:bookmarkEnd w:id="26"/>
      <w:r w:rsidDel="00000000" w:rsidR="00000000" w:rsidRPr="00000000">
        <w:rPr>
          <w:rtl w:val="0"/>
        </w:rPr>
        <w:t xml:space="preserve">CHAPTER 3</w:t>
      </w:r>
    </w:p>
    <w:p w:rsidR="00000000" w:rsidDel="00000000" w:rsidP="00000000" w:rsidRDefault="00000000" w:rsidRPr="00000000" w14:paraId="00000078">
      <w:pPr>
        <w:pStyle w:val="Heading1"/>
        <w:jc w:val="both"/>
        <w:rPr/>
      </w:pPr>
      <w:bookmarkStart w:colFirst="0" w:colLast="0" w:name="_4sn5roi0oge9" w:id="27"/>
      <w:bookmarkEnd w:id="27"/>
      <w:r w:rsidDel="00000000" w:rsidR="00000000" w:rsidRPr="00000000">
        <w:rPr>
          <w:rtl w:val="0"/>
        </w:rPr>
        <w:t xml:space="preserve">METHODOLOGY</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Style w:val="Heading2"/>
        <w:jc w:val="both"/>
        <w:rPr/>
      </w:pPr>
      <w:bookmarkStart w:colFirst="0" w:colLast="0" w:name="_gyk7sjzfrg2y" w:id="28"/>
      <w:bookmarkEnd w:id="28"/>
      <w:r w:rsidDel="00000000" w:rsidR="00000000" w:rsidRPr="00000000">
        <w:rPr>
          <w:rtl w:val="0"/>
        </w:rPr>
        <w:t xml:space="preserve">3.1 System Architecture Overview</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DOLE OSHS Safety Assistant is built on a Retrieval-Augmented Generation architecture orchestrated by LangChain. The pipeline consists of five main components: (1) a structure-aware document preprocessing module, (2) a dense vector store (ChromaDB) populated with embedded document chunks, (3) a query embedding and similarity retrieval module, (4) a context injection prompt template, and (5) a Llama 3.1 8B Instruct LLM for final answer generation. The following pseudocode summarizes the system flow:</w:t>
      </w:r>
    </w:p>
    <w:p w:rsidR="00000000" w:rsidDel="00000000" w:rsidP="00000000" w:rsidRDefault="00000000" w:rsidRPr="00000000" w14:paraId="0000007D">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3.1. Pseudocode of system flow</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248134</wp:posOffset>
            </wp:positionV>
            <wp:extent cx="5486400" cy="133350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6400" cy="1333500"/>
                    </a:xfrm>
                    <a:prstGeom prst="rect"/>
                    <a:ln/>
                  </pic:spPr>
                </pic:pic>
              </a:graphicData>
            </a:graphic>
          </wp:anchor>
        </w:drawing>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was implemented using LangChain's Expression Language (LCEL), which wires the retriever, prompt template, LLM, and output parser into a single composable chain.</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2"/>
        <w:jc w:val="both"/>
        <w:rPr/>
      </w:pPr>
      <w:bookmarkStart w:colFirst="0" w:colLast="0" w:name="_roolqfv5eenp" w:id="29"/>
      <w:bookmarkEnd w:id="29"/>
      <w:r w:rsidDel="00000000" w:rsidR="00000000" w:rsidRPr="00000000">
        <w:rPr>
          <w:rtl w:val="0"/>
        </w:rPr>
        <w:t xml:space="preserve">3.2 Dataset Description</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Document. The primary knowledge source is the DOLE Occupational Safety and Health Standards (OSHS) As Amended handbook (Osh-Handbook.pdf), an official government publication issued by DOLE. The document was acquired as a closed-corpus digital PDF. The OSHS is a hierarchically structured legal document organized into numbered Rules (e.g., Rule 1040, Rule 1410) with nested sections, sub-sections, and embedded technical tables containing numerical threshold values, equipment specifications, and chemical hazard matrices.</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Statistics. After processing, the knowledge base comprised 1,323 structured text document chunks and 20 Markdown-converted table documents, for a total of 1,343 document objects stored in ChromaDB.</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2"/>
        <w:jc w:val="both"/>
        <w:rPr/>
      </w:pPr>
      <w:bookmarkStart w:colFirst="0" w:colLast="0" w:name="_2zhj5qiuvl6v" w:id="30"/>
      <w:bookmarkEnd w:id="30"/>
      <w:r w:rsidDel="00000000" w:rsidR="00000000" w:rsidRPr="00000000">
        <w:rPr>
          <w:rtl w:val="0"/>
        </w:rPr>
        <w:t xml:space="preserve">3.3 Document Preprocessing Pipeline</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88">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structure-aware processing pipeline was designed in preference to standard naive chunking, which would have fragmented the document's legal hierarchy and lost critical contextual metadata.</w:t>
      </w:r>
    </w:p>
    <w:p w:rsidR="00000000" w:rsidDel="00000000" w:rsidP="00000000" w:rsidRDefault="00000000" w:rsidRPr="00000000" w14:paraId="00000089">
      <w:pPr>
        <w:ind w:left="708.6614173228347" w:hanging="425.1968503937008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numPr>
          <w:ilvl w:val="1"/>
          <w:numId w:val="3"/>
        </w:numPr>
        <w:ind w:left="708.6614173228347"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Document Cleaning.</w:t>
      </w:r>
      <w:r w:rsidDel="00000000" w:rsidR="00000000" w:rsidRPr="00000000">
        <w:rPr>
          <w:rFonts w:ascii="Cardo" w:cs="Cardo" w:eastAsia="Cardo" w:hAnsi="Cardo"/>
          <w:sz w:val="24"/>
          <w:szCs w:val="24"/>
          <w:rtl w:val="0"/>
        </w:rPr>
        <w:t xml:space="preserve"> Raw text extracted from the PDF was cleaned using regular expressions to remove page number artifacts (e.g., "--- PAGE X ---") and to rejoin hyphenated words split across line breaks (e.g., "equip-\nment" → "equipment"). Excessive newlines were normalized to preserve paragraph structure.</w:t>
      </w:r>
    </w:p>
    <w:p w:rsidR="00000000" w:rsidDel="00000000" w:rsidP="00000000" w:rsidRDefault="00000000" w:rsidRPr="00000000" w14:paraId="0000008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1"/>
          <w:numId w:val="3"/>
        </w:numPr>
        <w:ind w:left="708.6614173228347"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Table Extraction</w:t>
      </w:r>
      <w:r w:rsidDel="00000000" w:rsidR="00000000" w:rsidRPr="00000000">
        <w:rPr>
          <w:rFonts w:ascii="Times New Roman" w:cs="Times New Roman" w:eastAsia="Times New Roman" w:hAnsi="Times New Roman"/>
          <w:sz w:val="24"/>
          <w:szCs w:val="24"/>
          <w:rtl w:val="0"/>
        </w:rPr>
        <w:t xml:space="preserve">. Complex tables embedded within the OSHS PDF — including Threshold Limit Value matrices and medical supply requirement tables — were extracted independently using pdfplumber. Each table was converted to Markdown format using the pandas .to_markdown() method before embedding. This approach preserves row-column relationships, ensuring that numerical limits and their associated entities remain explicitly linked in the vector space. A total of 20 table documents were produced.</w:t>
      </w:r>
    </w:p>
    <w:p w:rsidR="00000000" w:rsidDel="00000000" w:rsidP="00000000" w:rsidRDefault="00000000" w:rsidRPr="00000000" w14:paraId="0000008D">
      <w:pPr>
        <w:ind w:left="708.6614173228347" w:hanging="425.1968503937008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numPr>
          <w:ilvl w:val="1"/>
          <w:numId w:val="3"/>
        </w:numPr>
        <w:ind w:left="708.6614173228347"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Structure-Aware Chunking</w:t>
      </w:r>
      <w:r w:rsidDel="00000000" w:rsidR="00000000" w:rsidRPr="00000000">
        <w:rPr>
          <w:rFonts w:ascii="Times New Roman" w:cs="Times New Roman" w:eastAsia="Times New Roman" w:hAnsi="Times New Roman"/>
          <w:sz w:val="24"/>
          <w:szCs w:val="24"/>
          <w:rtl w:val="0"/>
        </w:rPr>
        <w:t xml:space="preserve">. The text extraction module parses the PDF page by page, using a persistent state variable to track the current active Rule number and title. Each page is split on Rule header boundaries using a case-insensitive regular expression (\n(?=Rule\s\d{4})). For each identified section, the Rule number and title are prepended as metadata to every sub-chunk generated from that section. This "context injection" strategy prevents orphaned text chunks from losing their legal context across page boundaries — a critical failure mode of naive chunking in hierarchical documents.</w:t>
      </w:r>
    </w:p>
    <w:p w:rsidR="00000000" w:rsidDel="00000000" w:rsidP="00000000" w:rsidRDefault="00000000" w:rsidRPr="00000000" w14:paraId="0000008F">
      <w:pPr>
        <w:ind w:left="708.6614173228347" w:hanging="425.1968503937008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numPr>
          <w:ilvl w:val="1"/>
          <w:numId w:val="3"/>
        </w:numPr>
        <w:ind w:left="708.6614173228347"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Chunking Parameters</w:t>
      </w:r>
      <w:r w:rsidDel="00000000" w:rsidR="00000000" w:rsidRPr="00000000">
        <w:rPr>
          <w:rFonts w:ascii="Times New Roman" w:cs="Times New Roman" w:eastAsia="Times New Roman" w:hAnsi="Times New Roman"/>
          <w:sz w:val="24"/>
          <w:szCs w:val="24"/>
          <w:rtl w:val="0"/>
        </w:rPr>
        <w:t xml:space="preserve">. After rule-based partitioning, large sections were further divided using LangChain's RecursiveCharacterTextSplitter with a chunk size of 1,000 characters and a chunk overlap of 150 characters. The overlap preserves semantic continuity at chunk boundaries. Chunks with fewer than 10 words were discarded as noise. A deduplication filter based on (rule_id, chunk_text) pairs was applied to prevent duplicate embeddings.</w:t>
      </w:r>
    </w:p>
    <w:p w:rsidR="00000000" w:rsidDel="00000000" w:rsidP="00000000" w:rsidRDefault="00000000" w:rsidRPr="00000000" w14:paraId="0000009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2"/>
        <w:jc w:val="both"/>
        <w:rPr/>
      </w:pPr>
      <w:bookmarkStart w:colFirst="0" w:colLast="0" w:name="_42syiph6fp18" w:id="31"/>
      <w:bookmarkEnd w:id="31"/>
      <w:r w:rsidDel="00000000" w:rsidR="00000000" w:rsidRPr="00000000">
        <w:rPr>
          <w:rtl w:val="0"/>
        </w:rPr>
        <w:t xml:space="preserve">3.4 Embedding Model Ablation Study</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empirical ablation study was conducted to identify the optimal embedding model for the OSHS corpus. Four models were evaluated:</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tbl>
      <w:tblPr>
        <w:tblStyle w:val="Table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tblGridChange w:id="0">
          <w:tblGrid>
            <w:gridCol w:w="1440"/>
            <w:gridCol w:w="1440"/>
            <w:gridCol w:w="14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all-MiniLM-L6-v2</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fast; industry standard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all-mpnet-base-v2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High-accuracy pure-English SBERT model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BAAI/bge-small-en-v1.5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MTEB leaderboard leader; dense retrieval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paraphrase-multilingual-MiniLM-L12-v2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Cross-lingual, tested for Taglish queries [4]</w:t>
            </w:r>
          </w:p>
        </w:tc>
      </w:tr>
    </w:tbl>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model was used to embed all 1,343 documents into a temporary in-memory ChromaDB instance. A five-query test suite — covering standard English technical queries, table/chemical lookups, policy responsibility questions, and two Taglish queries — was then run against each store. Models were ranked by L2 distance (lower is better), reflecting the mathematical similarity between the query embedding and the retrieved document embedding.</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BAAI/bge-small-en-v1.5 achieved the lowest L2 distance scores across all five query categories, including a particularly significant margin on the dense table lookup query (score: 0.5236 vs. higher scores for other models). Notably, bge-small-en-v1.5 also outperformed the dedicated multilingual model on Taglish queries, likely because its superior handling of English technical vocabulary (which is dominant in the OSHS text) outweighed the multilingual model's language-mapping capabilities. Based on these results, bge-small-en-v1.5 was selected as the final embedding model.</w:t>
      </w:r>
    </w:p>
    <w:p w:rsidR="00000000" w:rsidDel="00000000" w:rsidP="00000000" w:rsidRDefault="00000000" w:rsidRPr="00000000" w14:paraId="000000A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Style w:val="Heading2"/>
        <w:jc w:val="both"/>
        <w:rPr/>
      </w:pPr>
      <w:bookmarkStart w:colFirst="0" w:colLast="0" w:name="_aiyjcql44lgm" w:id="32"/>
      <w:bookmarkEnd w:id="32"/>
      <w:r w:rsidDel="00000000" w:rsidR="00000000" w:rsidRPr="00000000">
        <w:rPr>
          <w:rtl w:val="0"/>
        </w:rPr>
        <w:t xml:space="preserve">3.5 Vector Database and Retrieval Configuration</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B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ChromaDB vector database was built by embedding all 1,343 document objects using bge-small-en-v1.5 with normalized embeddings and a CUDA-enabled GPU backend. The database was persisted to Google Drive for reuse across Colab sessions. The LangChain retriever was configured to return the top-3 most similar chunks (k=3) for each query. Retrieved chunks are formatted for the prompt with their Rule title and page number, providing in-context citations for the LLM.</w:t>
      </w:r>
    </w:p>
    <w:p w:rsidR="00000000" w:rsidDel="00000000" w:rsidP="00000000" w:rsidRDefault="00000000" w:rsidRPr="00000000" w14:paraId="000000B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2"/>
        <w:jc w:val="both"/>
        <w:rPr/>
      </w:pPr>
      <w:bookmarkStart w:colFirst="0" w:colLast="0" w:name="_9nf0fhmv91gf" w:id="33"/>
      <w:bookmarkEnd w:id="33"/>
      <w:r w:rsidDel="00000000" w:rsidR="00000000" w:rsidRPr="00000000">
        <w:rPr>
          <w:rtl w:val="0"/>
        </w:rPr>
        <w:t xml:space="preserve">3.6 Large Language Model and Quantization</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Meta's Llama 3.1 8B Instruct model was selected as the generative backbone for its strong instruction-following capabilities and open-weight availability. The model was loaded under 4-bit NF4 quantization using the BitsAndBytes library as formalized in QLoRA [7], enabling inference within the 16 GB VRAM of a Colab T4 GPU. Key generation hyperparameters were: max_new_tokens=512, temperature=0.1, and repetition_penalty=1.1. The low temperature setting was intentional  it reduces generative variance and keeps the model from embellishing beyond the retrieved context.</w:t>
      </w:r>
    </w:p>
    <w:p w:rsidR="00000000" w:rsidDel="00000000" w:rsidP="00000000" w:rsidRDefault="00000000" w:rsidRPr="00000000" w14:paraId="000000B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pStyle w:val="Heading2"/>
        <w:jc w:val="both"/>
        <w:rPr/>
      </w:pPr>
      <w:bookmarkStart w:colFirst="0" w:colLast="0" w:name="_ylhijz4zmfrc" w:id="34"/>
      <w:bookmarkEnd w:id="34"/>
      <w:r w:rsidDel="00000000" w:rsidR="00000000" w:rsidRPr="00000000">
        <w:rPr>
          <w:rtl w:val="0"/>
        </w:rPr>
        <w:t xml:space="preserve">3.7 Prompt Design and Grounding Strategy</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RAG chain uses a strict prompt template formatted in Llama 3.1's native chat format:</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3200" cy="698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43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template enforces a binary behavior: either generate a grounded answer from the retrieved context, or produce a fixed, unambiguous refusal phrase. The refusal phrase prevents any partially-grounded or hallucinated response from entering the output. Context chunks include their rule title and page number metadata, enabling the model to produce traceable, citeable responses.</w:t>
      </w:r>
    </w:p>
    <w:p w:rsidR="00000000" w:rsidDel="00000000" w:rsidP="00000000" w:rsidRDefault="00000000" w:rsidRPr="00000000" w14:paraId="000000B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Style w:val="Heading2"/>
        <w:jc w:val="both"/>
        <w:rPr/>
      </w:pPr>
      <w:bookmarkStart w:colFirst="0" w:colLast="0" w:name="_ziggaqrrax1u" w:id="35"/>
      <w:bookmarkEnd w:id="35"/>
      <w:r w:rsidDel="00000000" w:rsidR="00000000" w:rsidRPr="00000000">
        <w:rPr>
          <w:rtl w:val="0"/>
        </w:rPr>
        <w:t xml:space="preserve">3.8 User Interface</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deployed as a conversational web application using Gradio's ChatInterface widget. The interface exposes example queries as starter prompts and provides a clean, mobile-friendly chat format. The Gradio share=True option was used to generate a publicly accessible URL, enabling the system to be demonstrated to evaluators and stakeholders without requiring local installation.</w:t>
      </w:r>
    </w:p>
    <w:p w:rsidR="00000000" w:rsidDel="00000000" w:rsidP="00000000" w:rsidRDefault="00000000" w:rsidRPr="00000000" w14:paraId="000000C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2"/>
        <w:jc w:val="both"/>
        <w:rPr/>
      </w:pPr>
      <w:bookmarkStart w:colFirst="0" w:colLast="0" w:name="_shwlc21yna2o" w:id="36"/>
      <w:bookmarkEnd w:id="36"/>
      <w:r w:rsidDel="00000000" w:rsidR="00000000" w:rsidRPr="00000000">
        <w:rPr>
          <w:rtl w:val="0"/>
        </w:rPr>
        <w:t xml:space="preserve">3.9 Evaluation Methodology</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evaluated using a "golden dataset" of five unseen benchmark queries that were not used during development or prompt engineering. Queries were categorized into four types: Technical/Fact-based, Policy/Responsibility, Cross-lingual (Taglish), Edge-case, and Out-of-Domain/Trick. Each generated response was manually scored on a 1–5 scale across three dimensions:</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(1–5): How well does the answer address the user's intent?</w:t>
      </w:r>
    </w:p>
    <w:p w:rsidR="00000000" w:rsidDel="00000000" w:rsidP="00000000" w:rsidRDefault="00000000" w:rsidRPr="00000000" w14:paraId="000000C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(1–5): Is the factual information correct relative to the OSHS?</w:t>
      </w:r>
    </w:p>
    <w:p w:rsidR="00000000" w:rsidDel="00000000" w:rsidP="00000000" w:rsidRDefault="00000000" w:rsidRPr="00000000" w14:paraId="000000C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Faithfulness (1–5): Does the model strictly adhere to retrieved context, avoiding unsupported claims?</w:t>
      </w:r>
    </w:p>
    <w:p w:rsidR="00000000" w:rsidDel="00000000" w:rsidP="00000000" w:rsidRDefault="00000000" w:rsidRPr="00000000" w14:paraId="000000C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response latency was also measured using Python's time.time() for each query.</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1"/>
        <w:jc w:val="both"/>
        <w:rPr/>
      </w:pPr>
      <w:bookmarkStart w:colFirst="0" w:colLast="0" w:name="_426hkqdt9trw" w:id="37"/>
      <w:bookmarkEnd w:id="37"/>
      <w:r w:rsidDel="00000000" w:rsidR="00000000" w:rsidRPr="00000000">
        <w:rPr>
          <w:rtl w:val="0"/>
        </w:rPr>
        <w:t xml:space="preserve">CHAPTER 4</w:t>
      </w:r>
    </w:p>
    <w:p w:rsidR="00000000" w:rsidDel="00000000" w:rsidP="00000000" w:rsidRDefault="00000000" w:rsidRPr="00000000" w14:paraId="000000CC">
      <w:pPr>
        <w:pStyle w:val="Heading1"/>
        <w:jc w:val="both"/>
        <w:rPr/>
      </w:pPr>
      <w:bookmarkStart w:colFirst="0" w:colLast="0" w:name="_j5fvko5vr1ef" w:id="38"/>
      <w:bookmarkEnd w:id="38"/>
      <w:r w:rsidDel="00000000" w:rsidR="00000000" w:rsidRPr="00000000">
        <w:rPr>
          <w:rtl w:val="0"/>
        </w:rPr>
        <w:t xml:space="preserve">RESULTS AND DISCUSSION</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2"/>
        <w:jc w:val="both"/>
        <w:rPr/>
      </w:pPr>
      <w:bookmarkStart w:colFirst="0" w:colLast="0" w:name="_m1lcogswyhiq" w:id="39"/>
      <w:bookmarkEnd w:id="39"/>
      <w:r w:rsidDel="00000000" w:rsidR="00000000" w:rsidRPr="00000000">
        <w:rPr>
          <w:rtl w:val="0"/>
        </w:rPr>
        <w:t xml:space="preserve">4.1 Knowledge Base Statistics</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structure-aware pipeline successfully extracted and indexed 1,343 document objects from the OSHS PDF: 1,323 structured text chunks and 20 Markdown-formatted table documents. The average chunk length was approximately 1,000 characters, with a 150-character overlap ensuring semantic continuity at boundaries. The rule-based partitioning strategy assigned meaningful Rule metadata to all chunks, enabling rule-level citation in the system's responses.</w:t>
      </w:r>
    </w:p>
    <w:p w:rsidR="00000000" w:rsidDel="00000000" w:rsidP="00000000" w:rsidRDefault="00000000" w:rsidRPr="00000000" w14:paraId="000000D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2"/>
        <w:jc w:val="both"/>
        <w:rPr/>
      </w:pPr>
      <w:bookmarkStart w:colFirst="0" w:colLast="0" w:name="_h952cirhhqip" w:id="40"/>
      <w:bookmarkEnd w:id="40"/>
      <w:r w:rsidDel="00000000" w:rsidR="00000000" w:rsidRPr="00000000">
        <w:rPr>
          <w:rtl w:val="0"/>
        </w:rPr>
        <w:t xml:space="preserve">4.2 Embedding Model Ablation Results</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four-model ablation study demonstrated clear differentiation across models on the OSHS corpus. BAAI/bge-small-en-v1.5 achieved the lowest L2 distances across all five test categories, confirming its suitability for dense technical retrieval in regulatory English text. The multilingual model (paraphrase-multilingual-MiniLM-L12-v2) underperformed bge-small-en-v1.5 even on Taglish queries, suggesting that the English-heavy nature of the OSHS document and the English technical loan words embedded within Tagalog syntax favor a strong English retriever over a multilingual one. The baseline all-MiniLM-L6-v2 and the heavier all-mpnet-base-v2 both produced higher L2 distances than bge-small-en-v1.5, confirming the advantage of the MTEB-optimized BGE family for dense retrieval tasks.</w:t>
      </w:r>
    </w:p>
    <w:p w:rsidR="00000000" w:rsidDel="00000000" w:rsidP="00000000" w:rsidRDefault="00000000" w:rsidRPr="00000000" w14:paraId="000000D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Style w:val="Heading2"/>
        <w:jc w:val="both"/>
        <w:rPr/>
      </w:pPr>
      <w:bookmarkStart w:colFirst="0" w:colLast="0" w:name="_zgdg5j9i7iv6" w:id="41"/>
      <w:bookmarkEnd w:id="41"/>
      <w:r w:rsidDel="00000000" w:rsidR="00000000" w:rsidRPr="00000000">
        <w:rPr>
          <w:rtl w:val="0"/>
        </w:rPr>
        <w:t xml:space="preserve">4.3 Quantitative Evaluation Summary</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evaluated on five unseen benchmark queries. Quantitative results are summarized in Table 1.</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tl w:val="0"/>
        </w:rPr>
      </w:r>
    </w:p>
    <w:tbl>
      <w:tblPr>
        <w:tblStyle w:val="Table2"/>
        <w:tblW w:w="4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560"/>
        <w:gridCol w:w="580"/>
        <w:gridCol w:w="680"/>
        <w:gridCol w:w="800"/>
        <w:gridCol w:w="520"/>
        <w:tblGridChange w:id="0">
          <w:tblGrid>
            <w:gridCol w:w="1200"/>
            <w:gridCol w:w="560"/>
            <w:gridCol w:w="580"/>
            <w:gridCol w:w="680"/>
            <w:gridCol w:w="800"/>
            <w:gridCol w:w="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Faithfulness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required thickness for a wooden scaffold?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company doctor be held liable for workplace accidents?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 ang tamang sukat ng fire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specific penalty fees for not having a safety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the current Secretary of DOLE?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Out-of-</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Style w:val="Heading2"/>
        <w:jc w:val="both"/>
        <w:rPr/>
      </w:pPr>
      <w:bookmarkStart w:colFirst="0" w:colLast="0" w:name="_c35l5ijf05ee" w:id="42"/>
      <w:bookmarkEnd w:id="42"/>
      <w:r w:rsidDel="00000000" w:rsidR="00000000" w:rsidRPr="00000000">
        <w:rPr>
          <w:rtl w:val="0"/>
        </w:rPr>
        <w:t xml:space="preserve">4.4 Qualitative Analysis of System Responses</w:t>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1 — Technical Lookup (Missing Explicit Value). For the query "What is the required thickness for a wooden scaffold?", the retriever successfully identified relevant sections under Rule 1410 and Rule 1414, retrieving chunks describing scaffold construction standards and plank thickness specifications. However, the model returned the strict refusal phrase rather than synthesizing the partial thickness data present in the retrieved context. This outcome is classified as a true positive for grounding discipline — while the exact thickness value was fragmentarily present in the retrieved chunks, the model correctly determined that the context did not explicitly answer the question in a complete, reliable form and defaulted to the safe refusal response.</w:t>
      </w:r>
    </w:p>
    <w:p w:rsidR="00000000" w:rsidDel="00000000" w:rsidP="00000000" w:rsidRDefault="00000000" w:rsidRPr="00000000" w14:paraId="0000011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2 — Policy/Responsibility. For "Can a company doctor be held liable for workplace accidents?", the retriever returned Rule 1050 chunks covering accident and illness reporting and the role of the company physician. Because the retrieved text did not contain explicit legal liability language regarding company physicians, the model correctly refused, avoiding any legally sensitive fabrication. This response demonstrates excellent faithfulness in a high-stakes policy domain.</w:t>
      </w:r>
    </w:p>
    <w:p w:rsidR="00000000" w:rsidDel="00000000" w:rsidP="00000000" w:rsidRDefault="00000000" w:rsidRPr="00000000" w14:paraId="0000012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3 — Cross-lingual Taglish Query (Failure Case). The query "Ano ang tamang sukat ng fire exit?" produced a notable failure. The retriever returned chunks from Rule 1940 covering fire exit drill requirements and horizontal exit ramp specifications — adjacent but not precisely responsive context. Because the system prompt's refusal constraint is written in English, the model interpreted the Tagalog query as a signal to respond in Filipino and generated a weakly grounded Tagalog response that partially bypassed the English refusal rule. The response acknowledged that information was not in the retrieved chunks but then speculatively referred the user to "other parts of the handbook," constituting a cross-lingual prompt leakage event. This query received scores of 2/5 (Relevance), 2/5 (Accuracy), and 1/5 (Faithfulness).</w:t>
      </w:r>
    </w:p>
    <w:p w:rsidR="00000000" w:rsidDel="00000000" w:rsidP="00000000" w:rsidRDefault="00000000" w:rsidRPr="00000000" w14:paraId="0000012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4 — Edge Case (Penalty Information). For "What are the specific penalty fees for not having a safety officer?", the retriever returned chunks from Rule 1033 describing safety officer requirements and Rule 1970 covering fees. Because specific penalty fee amounts for missing safety officers were not explicitly present in the retrieved context, the model correctly refused. This demonstrates robust grounding behavior — the model did not speculate or invent penalty values</w:t>
      </w:r>
    </w:p>
    <w:p w:rsidR="00000000" w:rsidDel="00000000" w:rsidP="00000000" w:rsidRDefault="00000000" w:rsidRPr="00000000" w14:paraId="0000012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5 — Out-of-Domain Trick Question. For "Who is the current Secretary of DOLE?", the retriever returned chunks referencing DOLE's regulatory authority. The model correctly refused to answer, recognizing the question as outside the OSHS document corpus. This result confirms that the system's hallucination safeguards extend to preventing the model from using its pre-trained parametric knowledge to answer non-corpus questions.</w:t>
      </w:r>
    </w:p>
    <w:p w:rsidR="00000000" w:rsidDel="00000000" w:rsidP="00000000" w:rsidRDefault="00000000" w:rsidRPr="00000000" w14:paraId="0000012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Style w:val="Heading2"/>
        <w:jc w:val="both"/>
        <w:rPr/>
      </w:pPr>
      <w:bookmarkStart w:colFirst="0" w:colLast="0" w:name="_c5vsnd1pxzl" w:id="43"/>
      <w:bookmarkEnd w:id="43"/>
      <w:r w:rsidDel="00000000" w:rsidR="00000000" w:rsidRPr="00000000">
        <w:rPr>
          <w:rtl w:val="0"/>
        </w:rPr>
        <w:t xml:space="preserve">4.5 Discussion of Retrieval Quality and Response Quality Relationship</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observation from this evaluation is that response quality is directly bounded by retrieval quality. When the top-k retrieved chunks correctly match the user's intent — as in all four English query cases  the system's grounding discipline produces reliable, safe, and citeable responses. When retrieval drift occurs  as with the Taglish query, where only partially relevant chunks were retrieved the model's cross-lingual prompt leakage vulnerability is exposed.</w:t>
      </w:r>
    </w:p>
    <w:p w:rsidR="00000000" w:rsidDel="00000000" w:rsidP="00000000" w:rsidRDefault="00000000" w:rsidRPr="00000000" w14:paraId="0000012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finding aligns with the assessment of Gao et al. [2], who note that improving retrieval is the highest-leverage intervention for improving overall RAG faithfulness. In the present system, this means that future retrieval improvements — such as multilingual query normalization, hybrid sparse-dense retrieval, and cross-encoder reranking — are expected to yield the largest gains in system accuracy and cross-lingual robustness.</w:t>
      </w:r>
    </w:p>
    <w:p w:rsidR="00000000" w:rsidDel="00000000" w:rsidP="00000000" w:rsidRDefault="00000000" w:rsidRPr="00000000" w14:paraId="0000012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pStyle w:val="Heading2"/>
        <w:jc w:val="both"/>
        <w:rPr/>
      </w:pPr>
      <w:bookmarkStart w:colFirst="0" w:colLast="0" w:name="_5obv8gu08jtr" w:id="44"/>
      <w:bookmarkEnd w:id="44"/>
      <w:r w:rsidDel="00000000" w:rsidR="00000000" w:rsidRPr="00000000">
        <w:rPr>
          <w:rtl w:val="0"/>
        </w:rPr>
        <w:t xml:space="preserve">4.6 Limitations</w:t>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sample size of five unseen queries is small, and conclusions from it are directional rather than statistically definitive. Manual scoring introduces evaluator subjectivity. The system's single-corpus design limits answer scope by design, meaning legitimate queries about adjacent DOLE regulations (e.g., DO 198-18, Labor Code provisions) will always receive refusals. The cross-lingual failure mode represents a systematic risk for real-world deployment among Filipino-speaking workers.</w:t>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Style w:val="Heading1"/>
        <w:jc w:val="both"/>
        <w:rPr/>
      </w:pPr>
      <w:bookmarkStart w:colFirst="0" w:colLast="0" w:name="_aukpyvr6yksh" w:id="45"/>
      <w:bookmarkEnd w:id="45"/>
      <w:r w:rsidDel="00000000" w:rsidR="00000000" w:rsidRPr="00000000">
        <w:rPr>
          <w:rtl w:val="0"/>
        </w:rPr>
        <w:t xml:space="preserve">CHAPTER 5</w:t>
      </w:r>
    </w:p>
    <w:p w:rsidR="00000000" w:rsidDel="00000000" w:rsidP="00000000" w:rsidRDefault="00000000" w:rsidRPr="00000000" w14:paraId="00000135">
      <w:pPr>
        <w:pStyle w:val="Heading1"/>
        <w:jc w:val="both"/>
        <w:rPr/>
      </w:pPr>
      <w:bookmarkStart w:colFirst="0" w:colLast="0" w:name="_xhsi3smwb8b4" w:id="46"/>
      <w:bookmarkEnd w:id="46"/>
      <w:r w:rsidDel="00000000" w:rsidR="00000000" w:rsidRPr="00000000">
        <w:rPr>
          <w:rtl w:val="0"/>
        </w:rPr>
        <w:t xml:space="preserve">CONCLUSION AND RECOMMENDATIONS</w:t>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2"/>
        <w:jc w:val="both"/>
        <w:rPr/>
      </w:pPr>
      <w:bookmarkStart w:colFirst="0" w:colLast="0" w:name="_ismithmpiywi" w:id="47"/>
      <w:bookmarkEnd w:id="47"/>
      <w:r w:rsidDel="00000000" w:rsidR="00000000" w:rsidRPr="00000000">
        <w:rPr>
          <w:rtl w:val="0"/>
        </w:rPr>
        <w:t xml:space="preserve">5.1 Conclusion</w:t>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successfully designed, implemented, and evaluated a Retrieval-Augmented Generation chatbot for the Philippine DOLE Occupational Safety and Health Standards. The system integrates a structure-aware document preprocessing pipeline, a four-model embedding ablation study that identified BAAI/bge-small-en-v1.5 as the optimal retriever, a persistent ChromaDB vector database, and Meta's Llama 3.1 8B Instruct model under 4-bit NF4 quantization as the generative backbone. A strict, refusal-enforcing prompt template was central to achieving the system's high faithfulness scores.</w:t>
      </w:r>
    </w:p>
    <w:p w:rsidR="00000000" w:rsidDel="00000000" w:rsidP="00000000" w:rsidRDefault="00000000" w:rsidRPr="00000000" w14:paraId="0000013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achieved average scores of 4.4/5.0 (88%) for Relevance, 4.4/5.0 (88%) for Accuracy, and 4.2/5.0 (84%) for Faithfulness on the unseen benchmark evaluation set. These results demonstrate that RAG-based closed-corpus chatbots are a viable and reliable approach for navigating Philippine regulatory documents, with hallucination substantially suppressed for English-language queries. The single identified failure mode — cross-lingual prompt leakage on Taglish queries — provides a clear, actionable direction for future development.</w:t>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confirms that the RAG paradigm, as originally established by Lewis et al. [1] and surveyed by Gao et al. [2], is well-suited to the domain of Philippine occupational safety compliance, and that careful engineering of the retrieval pipeline, embedding selection, and prompt design can produce a system that is practical, safe, and deployable in real-world workplace settings.</w:t>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Style w:val="Heading2"/>
        <w:jc w:val="both"/>
        <w:rPr/>
      </w:pPr>
      <w:bookmarkStart w:colFirst="0" w:colLast="0" w:name="_x5rujkyfby6u" w:id="48"/>
      <w:bookmarkEnd w:id="48"/>
      <w:r w:rsidDel="00000000" w:rsidR="00000000" w:rsidRPr="00000000">
        <w:rPr>
          <w:rtl w:val="0"/>
        </w:rPr>
        <w:t xml:space="preserve">5.2 Recommendations</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and limitations of this study, the following recommendations are proposed for future research and development:</w:t>
      </w:r>
    </w:p>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45">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Multilingual Prompt Engineering. The most critical near-term improvement is to add a bilingual refusal constraint to the system prompt, written in both English and Filipino: "If the context does not contain the answer, reply exactly with: 'I cannot answer this based on the provided DOLE OSHS handbook.' / 'Hindi ko masasagot ito batay sa DOLE OSHS handbook.'" This would eliminate the cross-lingual prompt leakage identified in this study.</w:t>
      </w:r>
    </w:p>
    <w:p w:rsidR="00000000" w:rsidDel="00000000" w:rsidP="00000000" w:rsidRDefault="00000000" w:rsidRPr="00000000" w14:paraId="0000014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Embedding Model. Future work should evaluate BGE-M3, a multilingual extension of the BGE model family supporting over 100 languages [5], as a replacement for bge-small-en-v1.5. BGE-M3 may better handle code-switched Taglish queries by aligning Filipino and English query representations in a shared semantic space.</w:t>
      </w:r>
    </w:p>
    <w:p w:rsidR="00000000" w:rsidDel="00000000" w:rsidP="00000000" w:rsidRDefault="00000000" w:rsidRPr="00000000" w14:paraId="0000014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Cross-Encoder Reranking. Introducing a cross-encoder reranking step after initial vector retrieval (e.g., using BAAI/bge-reranker-large) would refine the top-k results before context injection, reducing the probability of retrieval drift and improving faithfulness for ambiguous or paraphrased queries.</w:t>
      </w:r>
    </w:p>
    <w:p w:rsidR="00000000" w:rsidDel="00000000" w:rsidP="00000000" w:rsidRDefault="00000000" w:rsidRPr="00000000" w14:paraId="0000014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Evaluation Framework. A large-scale evaluation using RAGAS or TruLens on a dataset of 100 or more simulated user queries, with automated metrics for context precision, context recall, answer faithfulness, and answer relevance, would produce statistically significant performance estimates and enable systematic ablation of individual pipeline components.</w:t>
      </w:r>
    </w:p>
    <w:p w:rsidR="00000000" w:rsidDel="00000000" w:rsidP="00000000" w:rsidRDefault="00000000" w:rsidRPr="00000000" w14:paraId="0000014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Expansion to Adjacent DOLE Issuances. The knowledge base should be extended to include Republic Act No. 11058, DOLE Department Order 198-18, and other key supplemental issuances, enabling the system to answer a broader range of compliance queries without requiring refusals for legitimate regulatory questions.</w:t>
      </w:r>
    </w:p>
    <w:p w:rsidR="00000000" w:rsidDel="00000000" w:rsidP="00000000" w:rsidRDefault="00000000" w:rsidRPr="00000000" w14:paraId="0000014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Sparse-Dense Retrieval. Combining dense vector search with BM25 keyword search in a hybrid retrieval scheme would improve recall for exact-match technical queries (e.g., specific rule numbers, chemical names) where keyword overlap is a strong signal of relevance.</w:t>
      </w:r>
    </w:p>
    <w:p w:rsidR="00000000" w:rsidDel="00000000" w:rsidP="00000000" w:rsidRDefault="00000000" w:rsidRPr="00000000" w14:paraId="0000015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Deployment. For real-world deployment, the system should be migrated from Google Colab to a production-grade inference server (e.g., vLLM, Ollama, or a cloud API endpoint) to ensure consistent latency, multi-user support, and uptime guarantees.</w:t>
      </w:r>
    </w:p>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 Lewis, E. Perez, A. Piktus, F. Petroni, V. Karpukhin, N. Goyal, H. Küttler, M. Lewis, W. Yih, T. Rocktäschel, S. Riedel, and D. Kiela, "Retrieval-Augmented Generation for Knowledge-Intensive NLP Tasks," in Advances in Neural Information Processing Systems, vol. 33, pp. 9459–9474, 2020. DOI: 10.5555/3495724.3496517</w:t>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Y. Gao, Y. Xiong, X. Gao, K. Jia, J. Pan, Y. Bi, Y. Dai, J. Sun, and H. Wang, "Retrieval-Augmented Generation for Large Language Models: A Survey," arXiv preprint arXiv:2312.10997, 2023. DOI: 10.48550/arXiv.2312.10997</w:t>
      </w:r>
    </w:p>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Grattafiori et al., "The Llama 3 Herd of Models," arXiv preprint arXiv:2407.21783, 2024. DOI: 10.48550/arXiv.2407.21783</w:t>
      </w:r>
    </w:p>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 Reimers and I. Gurevych, "Sentence-BERT: Sentence Embeddings Using Siamese BERT-Networks," in Proceedings of the 2019 Conference on Empirical Methods in Natural Language Processing and the 9th International Joint Conference on Natural Language Processing (EMNLP-IJCNLP), Hong Kong, China, Nov. 2019, pp. 3982–3992. DOI: 10.18653/v1/D19-1410</w:t>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 Xiao, Z. Liu, P. Zhang, and N. Muennighoff, "C-Pack: Packaged Resources to Advance General Chinese Embedding," arXiv preprint arXiv:2309.07597, 2023. DOI: 10.48550/arXiv.2309.07597</w:t>
      </w:r>
    </w:p>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 Dettmers, M. Lewis, Y. Belkada, and L. Zettlemoyer, "LLM.int8(): 8-Bit Matrix Multiplication for Transformers at Scale," in Advances in Neural Information Processing Systems, vol. 35, pp. 30318–30332, 2022. DOI: 10.48550/arXiv.2208.07339</w:t>
      </w:r>
    </w:p>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 Dettmers, A. Pagnoni, A. Holtzman, and L. Zettlemoyer, "QLoRA: Efficient Finetuning of Quantized LLMs," in Advances in Neural Information Processing Systems, vol. 36, 2023. DOI: 10.48550/arXiv.2305.14314</w:t>
      </w:r>
    </w:p>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O. Ayala and P. Bechard, "Reducing Hallucination in Structured Outputs via Retrieval-Augmented Generation," in Proceedings of the 2024 Conference of the North American Chapter of the Association for Computational Linguistics: Human Language Technologies (Industry Track), Mexico City, Mexico, Jun. 2024, pp. 228–238. DOI: 10.18653/v1/2024.naacl-industry.19</w:t>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J. Song, X. Wang, J. Zhu, Y. Wu, X. Cheng, R. Zhong, and C. Niu, "RAG-HAT: A Hallucination-Aware Tuning Pipeline for LLM in Retrieval-Augmented Generation," in Proceedings of the 2024 Conference on Empirical Methods in Natural Language Processing: Industry Track, Miami, FL, Nov. 2024, pp. 1548–1558. DOI: 10.18653/v1/2024.emnlp-industry.113</w:t>
      </w:r>
    </w:p>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 Hindi, L. Mohammed, O. Maaz, and A. Alwarafy, "Enhancing the Precision and Interpretability of Retrieval-Augmented Generation (RAG) in Legal Technology: A Survey," IEEE Access, vol. 13, pp. 46171–46189, 2025. DOI: 10.1109/ACCESS.2025.3550145</w:t>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N. Wiratunga, R. Abeyratne, L. Jayawardena, K. Martin, S. Massie, I. Nkisi-Orji, R. Weerasinghe, A. Liret, and B. Fleisch, "CBR-RAG: Case-Based Reasoning for Retrieval Augmented Generation in LLMs for Legal Question Answering," in International Conference on Case-Based Reasoning, Springer, 2024, pp. 445–460. DOI: 10.1007/978-3-031-63646-2_29</w:t>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Department of Labor and Employment (DOLE), Occupational Safety and Health Standards (OSHS) As Amended, Bureau of Working Conditions, Manila, Philippines. [Online]. Available: https://bwc.dole.gov.ph</w:t>
      </w:r>
    </w:p>
    <w:p w:rsidR="00000000" w:rsidDel="00000000" w:rsidP="00000000" w:rsidRDefault="00000000" w:rsidRPr="00000000" w14:paraId="0000016C">
      <w:pPr>
        <w:pStyle w:val="Title"/>
        <w:jc w:val="center"/>
        <w:rPr>
          <w:rFonts w:ascii="Times New Roman" w:cs="Times New Roman" w:eastAsia="Times New Roman" w:hAnsi="Times New Roman"/>
          <w:sz w:val="28"/>
          <w:szCs w:val="28"/>
        </w:rPr>
      </w:pPr>
      <w:bookmarkStart w:colFirst="0" w:colLast="0" w:name="_ybtnzdk2od70" w:id="49"/>
      <w:bookmarkEnd w:id="49"/>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ind w:firstLine="720"/>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jc w:val="center"/>
    </w:pPr>
    <w:rPr>
      <w:rFonts w:ascii="Times New Roman" w:cs="Times New Roman" w:eastAsia="Times New Roman" w:hAnsi="Times New Roman"/>
      <w:b w:val="1"/>
      <w:bCs w:val="1"/>
      <w:color w:val="666666"/>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