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2596"/>
        <w:tblW w:w="10898" w:type="dxa"/>
        <w:tblBorders>
          <w:top w:val="single" w:sz="8" w:space="0" w:color="87C23C" w:themeColor="accent4"/>
          <w:left w:val="single" w:sz="8" w:space="0" w:color="87C23C" w:themeColor="accent4"/>
          <w:bottom w:val="single" w:sz="8" w:space="0" w:color="87C23C" w:themeColor="accent4"/>
          <w:right w:val="single" w:sz="8" w:space="0" w:color="87C23C" w:themeColor="accent4"/>
          <w:insideH w:val="single" w:sz="8" w:space="0" w:color="87C23C" w:themeColor="accent4"/>
          <w:insideV w:val="single" w:sz="8" w:space="0" w:color="87C23C" w:themeColor="accent4"/>
        </w:tblBorders>
        <w:tblLayout w:type="fixed"/>
        <w:tblLook w:val="0600" w:firstRow="0" w:lastRow="0" w:firstColumn="0" w:lastColumn="0" w:noHBand="1" w:noVBand="1"/>
      </w:tblPr>
      <w:tblGrid>
        <w:gridCol w:w="5288"/>
        <w:gridCol w:w="315"/>
        <w:gridCol w:w="5295"/>
      </w:tblGrid>
      <w:tr w:rsidR="005D1911" w:rsidRPr="0099172D" w14:paraId="3FFE63BD" w14:textId="77777777" w:rsidTr="24459A67">
        <w:trPr>
          <w:trHeight w:val="274"/>
        </w:trPr>
        <w:tc>
          <w:tcPr>
            <w:tcW w:w="5603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BE81" w14:textId="4DCBA35F" w:rsidR="00065071" w:rsidRPr="0099172D" w:rsidRDefault="6DC3AED4" w:rsidP="24459A67">
            <w:pPr>
              <w:ind w:left="0" w:hanging="2"/>
              <w:textDirection w:val="lrTb"/>
              <w:rPr>
                <w:rFonts w:ascii="Century Gothic" w:hAnsi="Century Gothic"/>
                <w:b/>
                <w:bCs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>Document :</w:t>
            </w:r>
            <w:r w:rsidR="53507D7C" w:rsidRPr="24459A67">
              <w:rPr>
                <w:rFonts w:ascii="Century Gothic" w:hAnsi="Century Gothic"/>
                <w:b/>
                <w:bCs/>
                <w:color w:val="002060"/>
              </w:rPr>
              <w:t xml:space="preserve"> </w:t>
            </w:r>
            <w:proofErr w:type="spellStart"/>
            <w:r w:rsidR="1A23AEDF" w:rsidRPr="24459A67">
              <w:rPr>
                <w:rFonts w:ascii="Century Gothic" w:hAnsi="Century Gothic"/>
                <w:b/>
                <w:bCs/>
                <w:color w:val="002060"/>
              </w:rPr>
              <w:t>Ea</w:t>
            </w:r>
            <w:r w:rsidR="00473AB1">
              <w:rPr>
                <w:rFonts w:ascii="Century Gothic" w:hAnsi="Century Gothic"/>
                <w:b/>
                <w:bCs/>
                <w:color w:val="002060"/>
              </w:rPr>
              <w:t>s</w:t>
            </w:r>
            <w:r w:rsidR="1A23AEDF" w:rsidRPr="24459A67">
              <w:rPr>
                <w:rFonts w:ascii="Century Gothic" w:hAnsi="Century Gothic"/>
                <w:b/>
                <w:bCs/>
                <w:color w:val="002060"/>
              </w:rPr>
              <w:t>y</w:t>
            </w:r>
            <w:proofErr w:type="spellEnd"/>
            <w:r w:rsidR="1A23AEDF" w:rsidRPr="24459A67">
              <w:rPr>
                <w:rFonts w:ascii="Century Gothic" w:hAnsi="Century Gothic"/>
                <w:b/>
                <w:bCs/>
                <w:color w:val="002060"/>
              </w:rPr>
              <w:t xml:space="preserve"> Fly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1C59" w14:textId="0ECBBD94" w:rsidR="00065071" w:rsidRPr="0099172D" w:rsidRDefault="6FCC999B" w:rsidP="24459A67">
            <w:pPr>
              <w:widowControl w:val="0"/>
              <w:ind w:left="0" w:hanging="2"/>
              <w:textDirection w:val="lrTb"/>
              <w:rPr>
                <w:rFonts w:ascii="Century Gothic" w:hAnsi="Century Gothic"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>Réf</w:t>
            </w:r>
            <w:r w:rsidR="6DC3AED4" w:rsidRPr="24459A67">
              <w:rPr>
                <w:rFonts w:ascii="Century Gothic" w:hAnsi="Century Gothic"/>
                <w:b/>
                <w:bCs/>
                <w:color w:val="002060"/>
              </w:rPr>
              <w:t xml:space="preserve"> : </w:t>
            </w:r>
          </w:p>
          <w:p w14:paraId="193C7919" w14:textId="77777777" w:rsidR="000B410F" w:rsidRPr="0099172D" w:rsidRDefault="000B410F" w:rsidP="24459A67">
            <w:pPr>
              <w:widowControl w:val="0"/>
              <w:ind w:left="-2" w:firstLine="0"/>
              <w:textDirection w:val="lrTb"/>
              <w:rPr>
                <w:rFonts w:ascii="Century Gothic" w:hAnsi="Century Gothic"/>
                <w:color w:val="002060"/>
                <w:sz w:val="4"/>
                <w:szCs w:val="4"/>
              </w:rPr>
            </w:pPr>
          </w:p>
        </w:tc>
      </w:tr>
      <w:tr w:rsidR="005D1911" w:rsidRPr="0099172D" w14:paraId="3DB5FF0D" w14:textId="77777777" w:rsidTr="24459A67">
        <w:trPr>
          <w:trHeight w:val="323"/>
        </w:trPr>
        <w:tc>
          <w:tcPr>
            <w:tcW w:w="5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1138" w14:textId="62856741" w:rsidR="00065071" w:rsidRPr="0099172D" w:rsidRDefault="6FCC999B" w:rsidP="24459A67">
            <w:pPr>
              <w:widowControl w:val="0"/>
              <w:ind w:left="0" w:hanging="2"/>
              <w:textDirection w:val="lrTb"/>
              <w:rPr>
                <w:rFonts w:ascii="Century Gothic" w:hAnsi="Century Gothic"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>Version</w:t>
            </w:r>
            <w:r w:rsidR="0F29FDB1" w:rsidRPr="24459A67">
              <w:rPr>
                <w:rFonts w:ascii="Century Gothic" w:hAnsi="Century Gothic"/>
                <w:b/>
                <w:bCs/>
                <w:color w:val="002060"/>
              </w:rPr>
              <w:t xml:space="preserve"> </w:t>
            </w:r>
            <w:r w:rsidRPr="24459A67">
              <w:rPr>
                <w:rFonts w:ascii="Century Gothic" w:hAnsi="Century Gothic"/>
                <w:color w:val="002060"/>
              </w:rPr>
              <w:t>:</w:t>
            </w:r>
          </w:p>
        </w:tc>
        <w:tc>
          <w:tcPr>
            <w:tcW w:w="56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56B9" w14:textId="2BCC1E80" w:rsidR="00065071" w:rsidRPr="0099172D" w:rsidRDefault="6FCC999B" w:rsidP="24459A67">
            <w:pPr>
              <w:widowControl w:val="0"/>
              <w:ind w:left="0" w:hanging="2"/>
              <w:textDirection w:val="lrTb"/>
              <w:rPr>
                <w:rFonts w:ascii="Century Gothic" w:hAnsi="Century Gothic"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>Auteur</w:t>
            </w:r>
            <w:r w:rsidR="346EFA30" w:rsidRPr="24459A67">
              <w:rPr>
                <w:rFonts w:ascii="Century Gothic" w:hAnsi="Century Gothic"/>
                <w:b/>
                <w:bCs/>
                <w:color w:val="002060"/>
              </w:rPr>
              <w:t xml:space="preserve"> </w:t>
            </w:r>
            <w:r w:rsidRPr="24459A67">
              <w:rPr>
                <w:rFonts w:ascii="Century Gothic" w:hAnsi="Century Gothic"/>
                <w:color w:val="002060"/>
              </w:rPr>
              <w:t>:</w:t>
            </w:r>
            <w:r w:rsidR="346EFA30" w:rsidRPr="24459A67">
              <w:rPr>
                <w:rFonts w:ascii="Century Gothic" w:hAnsi="Century Gothic"/>
                <w:color w:val="002060"/>
              </w:rPr>
              <w:t xml:space="preserve"> </w:t>
            </w:r>
            <w:proofErr w:type="spellStart"/>
            <w:r w:rsidR="00661CE2">
              <w:rPr>
                <w:rFonts w:ascii="Century Gothic" w:hAnsi="Century Gothic"/>
                <w:color w:val="002060"/>
              </w:rPr>
              <w:t>Nkoukou</w:t>
            </w:r>
            <w:proofErr w:type="spellEnd"/>
            <w:r w:rsidR="00661CE2">
              <w:rPr>
                <w:rFonts w:ascii="Century Gothic" w:hAnsi="Century Gothic"/>
                <w:color w:val="002060"/>
              </w:rPr>
              <w:t xml:space="preserve"> </w:t>
            </w:r>
            <w:proofErr w:type="spellStart"/>
            <w:r w:rsidR="00661CE2">
              <w:rPr>
                <w:rFonts w:ascii="Century Gothic" w:hAnsi="Century Gothic"/>
                <w:color w:val="002060"/>
              </w:rPr>
              <w:t>Ndzogo</w:t>
            </w:r>
            <w:proofErr w:type="spellEnd"/>
            <w:r w:rsidR="00661CE2">
              <w:rPr>
                <w:rFonts w:ascii="Century Gothic" w:hAnsi="Century Gothic"/>
                <w:color w:val="002060"/>
              </w:rPr>
              <w:t xml:space="preserve"> </w:t>
            </w:r>
            <w:proofErr w:type="spellStart"/>
            <w:r w:rsidR="00661CE2">
              <w:rPr>
                <w:rFonts w:ascii="Century Gothic" w:hAnsi="Century Gothic"/>
                <w:color w:val="002060"/>
              </w:rPr>
              <w:t>Cev</w:t>
            </w:r>
            <w:r w:rsidR="00321AF1">
              <w:rPr>
                <w:rFonts w:ascii="Century Gothic" w:hAnsi="Century Gothic"/>
                <w:color w:val="002060"/>
              </w:rPr>
              <w:t>é</w:t>
            </w:r>
            <w:r w:rsidR="00661CE2">
              <w:rPr>
                <w:rFonts w:ascii="Century Gothic" w:hAnsi="Century Gothic"/>
                <w:color w:val="002060"/>
              </w:rPr>
              <w:t>rine</w:t>
            </w:r>
            <w:proofErr w:type="spellEnd"/>
            <w:r w:rsidR="00661CE2">
              <w:rPr>
                <w:rFonts w:ascii="Century Gothic" w:hAnsi="Century Gothic"/>
                <w:color w:val="002060"/>
              </w:rPr>
              <w:t xml:space="preserve"> Elisée</w:t>
            </w:r>
          </w:p>
        </w:tc>
      </w:tr>
      <w:tr w:rsidR="005D1911" w:rsidRPr="0099172D" w14:paraId="4A3E7739" w14:textId="77777777" w:rsidTr="24459A67">
        <w:trPr>
          <w:trHeight w:val="359"/>
        </w:trPr>
        <w:tc>
          <w:tcPr>
            <w:tcW w:w="56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7BB4" w14:textId="65810AF7" w:rsidR="00065071" w:rsidRPr="0099172D" w:rsidRDefault="6FCC999B" w:rsidP="24459A67">
            <w:pPr>
              <w:widowControl w:val="0"/>
              <w:ind w:left="0" w:hanging="2"/>
              <w:textDirection w:val="lrTb"/>
              <w:rPr>
                <w:rFonts w:ascii="Century Gothic" w:hAnsi="Century Gothic"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>Date de création</w:t>
            </w:r>
            <w:r w:rsidR="0F29FDB1" w:rsidRPr="24459A67">
              <w:rPr>
                <w:rFonts w:ascii="Century Gothic" w:hAnsi="Century Gothic"/>
                <w:b/>
                <w:bCs/>
                <w:color w:val="002060"/>
              </w:rPr>
              <w:t xml:space="preserve"> </w:t>
            </w:r>
            <w:r w:rsidRPr="24459A67">
              <w:rPr>
                <w:rFonts w:ascii="Century Gothic" w:hAnsi="Century Gothic"/>
                <w:color w:val="002060"/>
              </w:rPr>
              <w:t>:</w:t>
            </w:r>
            <w:r w:rsidR="00661CE2">
              <w:rPr>
                <w:rFonts w:ascii="Century Gothic" w:hAnsi="Century Gothic"/>
                <w:color w:val="002060"/>
              </w:rPr>
              <w:t>08</w:t>
            </w:r>
            <w:r w:rsidRPr="24459A67">
              <w:rPr>
                <w:rFonts w:ascii="Century Gothic" w:hAnsi="Century Gothic"/>
                <w:color w:val="002060"/>
              </w:rPr>
              <w:t>/</w:t>
            </w:r>
            <w:r w:rsidR="00661CE2">
              <w:rPr>
                <w:rFonts w:ascii="Century Gothic" w:hAnsi="Century Gothic"/>
                <w:color w:val="002060"/>
              </w:rPr>
              <w:t>03</w:t>
            </w:r>
            <w:r w:rsidRPr="24459A67">
              <w:rPr>
                <w:rFonts w:ascii="Century Gothic" w:hAnsi="Century Gothic"/>
                <w:color w:val="002060"/>
              </w:rPr>
              <w:t>/202</w:t>
            </w:r>
            <w:r w:rsidR="00661CE2">
              <w:rPr>
                <w:rFonts w:ascii="Century Gothic" w:hAnsi="Century Gothic"/>
                <w:color w:val="002060"/>
              </w:rPr>
              <w:t>4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6409" w14:textId="77777777" w:rsidR="00065071" w:rsidRPr="0099172D" w:rsidRDefault="6FCC999B" w:rsidP="24459A67">
            <w:pPr>
              <w:widowControl w:val="0"/>
              <w:ind w:left="0" w:right="720" w:hanging="2"/>
              <w:textDirection w:val="lrTb"/>
              <w:rPr>
                <w:rFonts w:ascii="Century Gothic" w:hAnsi="Century Gothic"/>
                <w:color w:val="002060"/>
              </w:rPr>
            </w:pPr>
            <w:r w:rsidRPr="24459A67">
              <w:rPr>
                <w:rFonts w:ascii="Century Gothic" w:hAnsi="Century Gothic"/>
                <w:b/>
                <w:bCs/>
                <w:color w:val="002060"/>
              </w:rPr>
              <w:t xml:space="preserve">Date de </w:t>
            </w:r>
            <w:r w:rsidR="6DC3AED4" w:rsidRPr="24459A67">
              <w:rPr>
                <w:rFonts w:ascii="Century Gothic" w:hAnsi="Century Gothic"/>
                <w:b/>
                <w:bCs/>
                <w:color w:val="002060"/>
              </w:rPr>
              <w:t>validation</w:t>
            </w:r>
            <w:r w:rsidR="346EFA30" w:rsidRPr="24459A67">
              <w:rPr>
                <w:rFonts w:ascii="Century Gothic" w:hAnsi="Century Gothic"/>
                <w:b/>
                <w:bCs/>
                <w:color w:val="002060"/>
              </w:rPr>
              <w:t xml:space="preserve"> </w:t>
            </w:r>
            <w:r w:rsidRPr="24459A67">
              <w:rPr>
                <w:rFonts w:ascii="Century Gothic" w:hAnsi="Century Gothic"/>
                <w:b/>
                <w:bCs/>
                <w:color w:val="002060"/>
              </w:rPr>
              <w:t xml:space="preserve">: </w:t>
            </w:r>
          </w:p>
        </w:tc>
      </w:tr>
    </w:tbl>
    <w:tbl>
      <w:tblPr>
        <w:tblStyle w:val="3"/>
        <w:tblW w:w="10916" w:type="dxa"/>
        <w:tblInd w:w="-893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35034B" w:rsidRPr="0099172D" w14:paraId="52409D09" w14:textId="77777777" w:rsidTr="00E22C9A">
        <w:trPr>
          <w:trHeight w:val="274"/>
        </w:trPr>
        <w:tc>
          <w:tcPr>
            <w:tcW w:w="10916" w:type="dxa"/>
            <w:shd w:val="clear" w:color="auto" w:fill="60AB18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AA42" w14:textId="77777777" w:rsidR="0035034B" w:rsidRPr="00E22C9A" w:rsidRDefault="0035034B" w:rsidP="00EE601A">
            <w:pPr>
              <w:widowControl w:val="0"/>
              <w:ind w:left="2" w:hanging="4"/>
              <w:jc w:val="center"/>
              <w:rPr>
                <w:rFonts w:ascii="Century Gothic" w:hAnsi="Century Gothic"/>
                <w:color w:val="FFFFFF" w:themeColor="background1"/>
                <w:sz w:val="36"/>
                <w:szCs w:val="36"/>
              </w:rPr>
            </w:pPr>
            <w:r w:rsidRPr="00E22C9A">
              <w:rPr>
                <w:rFonts w:ascii="Century Gothic" w:eastAsia="Calibri" w:hAnsi="Century Gothic"/>
                <w:b/>
                <w:bCs/>
                <w:color w:val="FFFFFF" w:themeColor="background1"/>
                <w:position w:val="0"/>
                <w:sz w:val="36"/>
                <w:szCs w:val="36"/>
                <w:lang w:eastAsia="en-US"/>
              </w:rPr>
              <w:t>FICHE PRODUIT ET SERVICE</w:t>
            </w:r>
          </w:p>
        </w:tc>
      </w:tr>
      <w:tr w:rsidR="0035034B" w:rsidRPr="0099172D" w14:paraId="7A0A8654" w14:textId="77777777" w:rsidTr="0095605E">
        <w:trPr>
          <w:trHeight w:val="25"/>
        </w:trPr>
        <w:tc>
          <w:tcPr>
            <w:tcW w:w="10916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542A" w14:textId="6FB3F49D" w:rsidR="0035034B" w:rsidRPr="00E25BD9" w:rsidRDefault="0035034B" w:rsidP="00EE601A">
            <w:pPr>
              <w:widowControl w:val="0"/>
              <w:ind w:left="0" w:hanging="2"/>
              <w:jc w:val="center"/>
              <w:rPr>
                <w:rFonts w:ascii="Century Gothic" w:hAnsi="Century Gothic"/>
                <w:color w:val="002060"/>
              </w:rPr>
            </w:pPr>
            <w:r w:rsidRPr="00E25BD9">
              <w:rPr>
                <w:rFonts w:ascii="Century Gothic" w:eastAsia="Arial Narrow" w:hAnsi="Century Gothic" w:cs="Arial Narrow"/>
                <w:b/>
                <w:color w:val="002060"/>
              </w:rPr>
              <w:t xml:space="preserve">Direction </w:t>
            </w:r>
            <w:r w:rsidR="005A4B0F">
              <w:rPr>
                <w:rFonts w:ascii="Century Gothic" w:eastAsia="Arial Narrow" w:hAnsi="Century Gothic" w:cs="Arial Narrow"/>
                <w:b/>
                <w:color w:val="002060"/>
              </w:rPr>
              <w:t xml:space="preserve">Digital Banking &amp; </w:t>
            </w:r>
            <w:proofErr w:type="spellStart"/>
            <w:r w:rsidR="005A4B0F">
              <w:rPr>
                <w:rFonts w:ascii="Century Gothic" w:eastAsia="Arial Narrow" w:hAnsi="Century Gothic" w:cs="Arial Narrow"/>
                <w:b/>
                <w:color w:val="002060"/>
              </w:rPr>
              <w:t>Partenerships</w:t>
            </w:r>
            <w:proofErr w:type="spellEnd"/>
          </w:p>
        </w:tc>
      </w:tr>
    </w:tbl>
    <w:p w14:paraId="00D031C4" w14:textId="77777777" w:rsidR="005D1911" w:rsidRDefault="005D1911" w:rsidP="005D1911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tbl>
      <w:tblPr>
        <w:tblW w:w="10916" w:type="dxa"/>
        <w:tblInd w:w="-885" w:type="dxa"/>
        <w:tblBorders>
          <w:top w:val="single" w:sz="8" w:space="0" w:color="87C23C" w:themeColor="accent4"/>
          <w:left w:val="single" w:sz="8" w:space="0" w:color="87C23C" w:themeColor="accent4"/>
          <w:bottom w:val="single" w:sz="8" w:space="0" w:color="87C23C" w:themeColor="accent4"/>
          <w:right w:val="single" w:sz="8" w:space="0" w:color="87C23C" w:themeColor="accent4"/>
          <w:insideH w:val="single" w:sz="8" w:space="0" w:color="87C23C" w:themeColor="accent4"/>
          <w:insideV w:val="single" w:sz="8" w:space="0" w:color="87C23C" w:themeColor="accent4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7655"/>
      </w:tblGrid>
      <w:tr w:rsidR="005D1911" w:rsidRPr="0099172D" w14:paraId="65F98C1A" w14:textId="77777777" w:rsidTr="6F195ADD">
        <w:trPr>
          <w:trHeight w:val="465"/>
        </w:trPr>
        <w:tc>
          <w:tcPr>
            <w:tcW w:w="3261" w:type="dxa"/>
            <w:tcBorders>
              <w:right w:val="single" w:sz="8" w:space="0" w:color="FFFFFF" w:themeColor="background1"/>
            </w:tcBorders>
            <w:shd w:val="clear" w:color="auto" w:fill="60AB18" w:themeFill="accent3"/>
          </w:tcPr>
          <w:p w14:paraId="4E11D962" w14:textId="77777777" w:rsidR="00E76C42" w:rsidRPr="00E22C9A" w:rsidRDefault="00E76C42" w:rsidP="005D1911">
            <w:pPr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6"/>
                <w:szCs w:val="6"/>
              </w:rPr>
            </w:pPr>
          </w:p>
          <w:p w14:paraId="1DCD72C0" w14:textId="77777777" w:rsidR="00065071" w:rsidRPr="00E22C9A" w:rsidRDefault="001911BD" w:rsidP="005D1911">
            <w:pPr>
              <w:ind w:left="0" w:hanging="2"/>
              <w:jc w:val="center"/>
              <w:rPr>
                <w:rFonts w:ascii="Century Gothic" w:eastAsia="Arial Narrow" w:hAnsi="Century Gothic" w:cs="Arial Narrow"/>
                <w:color w:val="FFFFFF" w:themeColor="background1"/>
                <w:sz w:val="22"/>
                <w:szCs w:val="22"/>
              </w:rPr>
            </w:pPr>
            <w:r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N° R</w:t>
            </w:r>
            <w:r w:rsidR="00E76C42"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éférencement</w:t>
            </w:r>
          </w:p>
        </w:tc>
        <w:tc>
          <w:tcPr>
            <w:tcW w:w="7655" w:type="dxa"/>
            <w:tcBorders>
              <w:left w:val="single" w:sz="8" w:space="0" w:color="FFFFFF" w:themeColor="background1"/>
            </w:tcBorders>
            <w:shd w:val="clear" w:color="auto" w:fill="60AB18" w:themeFill="accent3"/>
          </w:tcPr>
          <w:p w14:paraId="6DB7EF23" w14:textId="77777777" w:rsidR="00E76C42" w:rsidRPr="00E22C9A" w:rsidRDefault="00E76C42" w:rsidP="005D1911">
            <w:pPr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6"/>
                <w:szCs w:val="6"/>
              </w:rPr>
            </w:pPr>
          </w:p>
          <w:p w14:paraId="445E052E" w14:textId="2F655C3B" w:rsidR="00065071" w:rsidRPr="00E22C9A" w:rsidRDefault="00065071" w:rsidP="24459A67">
            <w:pPr>
              <w:ind w:left="0" w:hanging="2"/>
              <w:jc w:val="center"/>
              <w:rPr>
                <w:rFonts w:ascii="Century Gothic" w:eastAsia="Arial Narrow" w:hAnsi="Century Gothic" w:cs="Arial Narrow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D1911" w:rsidRPr="0099172D" w14:paraId="090D88D7" w14:textId="77777777" w:rsidTr="6F195ADD">
        <w:trPr>
          <w:trHeight w:val="445"/>
        </w:trPr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3180ABD8" w14:textId="77777777" w:rsidR="00065071" w:rsidRPr="0099172D" w:rsidRDefault="001911BD" w:rsidP="006E0AA3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N</w:t>
            </w:r>
            <w:r w:rsidR="00E76C42"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om du produit / Service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4D549D" w14:textId="77777777" w:rsidR="00E76C42" w:rsidRPr="0099172D" w:rsidRDefault="00E76C42" w:rsidP="006E0AA3">
            <w:pPr>
              <w:ind w:left="-2" w:firstLine="0"/>
              <w:jc w:val="both"/>
              <w:rPr>
                <w:rFonts w:ascii="Century Gothic" w:eastAsia="Arial Narrow" w:hAnsi="Century Gothic" w:cs="Arial Narrow"/>
                <w:b/>
                <w:color w:val="002060"/>
                <w:sz w:val="4"/>
                <w:szCs w:val="4"/>
              </w:rPr>
            </w:pPr>
          </w:p>
          <w:p w14:paraId="21B3C807" w14:textId="06D5BD23" w:rsidR="00065071" w:rsidRPr="0099172D" w:rsidRDefault="24459A67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proofErr w:type="spellStart"/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Ea</w:t>
            </w:r>
            <w:r w:rsidR="00473AB1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s</w:t>
            </w: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y</w:t>
            </w:r>
            <w:proofErr w:type="spellEnd"/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 xml:space="preserve"> Fly</w:t>
            </w:r>
          </w:p>
        </w:tc>
      </w:tr>
      <w:tr w:rsidR="00B14888" w:rsidRPr="0099172D" w14:paraId="3B70B967" w14:textId="77777777" w:rsidTr="6F195ADD">
        <w:trPr>
          <w:trHeight w:val="423"/>
        </w:trPr>
        <w:tc>
          <w:tcPr>
            <w:tcW w:w="3261" w:type="dxa"/>
            <w:vAlign w:val="center"/>
          </w:tcPr>
          <w:p w14:paraId="674760D7" w14:textId="77777777" w:rsidR="00B14888" w:rsidRPr="0099172D" w:rsidRDefault="008777C2" w:rsidP="00B14888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Catégorie</w:t>
            </w:r>
            <w:r w:rsidR="00B14888"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 de crédit</w:t>
            </w:r>
          </w:p>
        </w:tc>
        <w:tc>
          <w:tcPr>
            <w:tcW w:w="7655" w:type="dxa"/>
          </w:tcPr>
          <w:p w14:paraId="385B15E9" w14:textId="77777777" w:rsidR="00B14888" w:rsidRPr="0099172D" w:rsidRDefault="00B14888" w:rsidP="00B14888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  <w:p w14:paraId="19646483" w14:textId="77777777" w:rsidR="00B14888" w:rsidRPr="0099172D" w:rsidRDefault="53507D7C" w:rsidP="00B14888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Crédit </w:t>
            </w:r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à la consommation BNPL (</w:t>
            </w:r>
            <w:proofErr w:type="spellStart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Buy</w:t>
            </w:r>
            <w:proofErr w:type="spellEnd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proofErr w:type="spellStart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now</w:t>
            </w:r>
            <w:proofErr w:type="spellEnd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proofErr w:type="spellStart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pay</w:t>
            </w:r>
            <w:proofErr w:type="spellEnd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proofErr w:type="spellStart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later</w:t>
            </w:r>
            <w:proofErr w:type="spellEnd"/>
            <w:r w:rsidR="2F4F3F36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)</w:t>
            </w:r>
          </w:p>
        </w:tc>
      </w:tr>
      <w:tr w:rsidR="005D1911" w:rsidRPr="0099172D" w14:paraId="0E613757" w14:textId="77777777" w:rsidTr="6F195ADD">
        <w:trPr>
          <w:trHeight w:val="1413"/>
        </w:trPr>
        <w:tc>
          <w:tcPr>
            <w:tcW w:w="3261" w:type="dxa"/>
            <w:vAlign w:val="center"/>
          </w:tcPr>
          <w:p w14:paraId="6E8566A7" w14:textId="77777777" w:rsidR="00065071" w:rsidRPr="0099172D" w:rsidRDefault="001911BD" w:rsidP="000B410F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D</w:t>
            </w:r>
            <w:r w:rsidR="000B410F"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escription du produit </w:t>
            </w:r>
          </w:p>
        </w:tc>
        <w:tc>
          <w:tcPr>
            <w:tcW w:w="7655" w:type="dxa"/>
          </w:tcPr>
          <w:p w14:paraId="0EC00464" w14:textId="77777777" w:rsidR="008059AF" w:rsidRPr="0065778B" w:rsidRDefault="008059AF" w:rsidP="006E0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="0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  <w:p w14:paraId="77751D35" w14:textId="46774B90" w:rsidR="00115360" w:rsidRDefault="1A23AEDF" w:rsidP="24459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proofErr w:type="spellStart"/>
            <w:r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Ea</w:t>
            </w:r>
            <w:r w:rsidR="00473AB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s</w:t>
            </w:r>
            <w:r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y</w:t>
            </w:r>
            <w:proofErr w:type="spellEnd"/>
            <w:r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Fly est un crédit</w:t>
            </w:r>
            <w:r w:rsidR="005A4B0F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à la consommation</w:t>
            </w:r>
            <w:r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qui permet </w:t>
            </w:r>
            <w:r w:rsidR="005A4B0F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à un</w:t>
            </w:r>
            <w:r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client d’acheter un billet d’avion chez </w:t>
            </w:r>
            <w:r w:rsidR="7292D058"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un </w:t>
            </w:r>
            <w:r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fournisseur partenaire et de payer en </w:t>
            </w:r>
            <w:r w:rsidR="76C032E3"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plusieurs</w:t>
            </w:r>
            <w:r w:rsidRPr="6F195AD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mensualités.</w:t>
            </w:r>
          </w:p>
          <w:p w14:paraId="62EE72E3" w14:textId="77777777" w:rsidR="00115360" w:rsidRDefault="00115360" w:rsidP="24459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</w:p>
          <w:p w14:paraId="38040C86" w14:textId="6F6D1C44" w:rsidR="00A83BF1" w:rsidRPr="00661CE2" w:rsidRDefault="00661CE2" w:rsidP="0066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proofErr w:type="spellStart"/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Ea</w:t>
            </w:r>
            <w:r w:rsidR="00473AB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s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y</w:t>
            </w:r>
            <w:proofErr w:type="spellEnd"/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Fly peut également être offert sous forme d’un package </w:t>
            </w:r>
            <w:proofErr w:type="spellStart"/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Travel</w:t>
            </w:r>
            <w:proofErr w:type="spellEnd"/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qui inclut</w:t>
            </w:r>
            <w:r w:rsidR="00321AF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Assurance Voyage +</w:t>
            </w:r>
            <w:r w:rsidR="00321AF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Réservation d'hôtel</w:t>
            </w: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+</w:t>
            </w: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r w:rsidRPr="00661CE2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Location de véhicule</w:t>
            </w:r>
            <w:r w:rsidR="005A4B0F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.</w:t>
            </w:r>
          </w:p>
        </w:tc>
      </w:tr>
      <w:tr w:rsidR="00450FCB" w:rsidRPr="0099172D" w14:paraId="3E3B17A4" w14:textId="77777777" w:rsidTr="6F195ADD">
        <w:trPr>
          <w:trHeight w:val="412"/>
        </w:trPr>
        <w:tc>
          <w:tcPr>
            <w:tcW w:w="3261" w:type="dxa"/>
          </w:tcPr>
          <w:p w14:paraId="4294C319" w14:textId="77777777" w:rsidR="00450FCB" w:rsidRPr="00FF73FB" w:rsidRDefault="00450FCB" w:rsidP="00450FCB">
            <w:pPr>
              <w:rPr>
                <w:rFonts w:ascii="Century Gothic" w:eastAsia="Arial Narrow" w:hAnsi="Century Gothic" w:cs="Arial Narrow"/>
                <w:b/>
                <w:color w:val="002060"/>
                <w:sz w:val="6"/>
                <w:szCs w:val="6"/>
              </w:rPr>
            </w:pPr>
          </w:p>
          <w:p w14:paraId="600D5C4A" w14:textId="77777777" w:rsidR="00450FCB" w:rsidRPr="0099172D" w:rsidRDefault="00450FCB" w:rsidP="00450FCB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Segment</w:t>
            </w:r>
          </w:p>
        </w:tc>
        <w:tc>
          <w:tcPr>
            <w:tcW w:w="7655" w:type="dxa"/>
          </w:tcPr>
          <w:p w14:paraId="7B9A6449" w14:textId="77777777" w:rsidR="00450FCB" w:rsidRPr="00472EB8" w:rsidRDefault="00450FCB" w:rsidP="004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Arial Narrow" w:hAnsi="Century Gothic" w:cs="Arial Narrow"/>
                <w:b/>
                <w:color w:val="002060"/>
                <w:sz w:val="6"/>
                <w:szCs w:val="6"/>
              </w:rPr>
            </w:pPr>
          </w:p>
          <w:p w14:paraId="6D0649D1" w14:textId="1A6E8557" w:rsidR="00450FCB" w:rsidRDefault="00661CE2" w:rsidP="004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Commerçants</w:t>
            </w:r>
            <w:r w:rsidR="005A4B0F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 et particuliers</w:t>
            </w:r>
          </w:p>
          <w:p w14:paraId="254AB629" w14:textId="77777777" w:rsidR="00450FCB" w:rsidRPr="00450FCB" w:rsidRDefault="00450FCB" w:rsidP="00450F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Arial Narrow" w:hAnsi="Century Gothic" w:cs="Arial Narrow"/>
                <w:b/>
                <w:color w:val="002060"/>
                <w:sz w:val="10"/>
                <w:szCs w:val="10"/>
              </w:rPr>
            </w:pPr>
          </w:p>
        </w:tc>
      </w:tr>
      <w:tr w:rsidR="00450FCB" w:rsidRPr="0099172D" w14:paraId="431E756D" w14:textId="77777777" w:rsidTr="6F195ADD">
        <w:trPr>
          <w:trHeight w:val="549"/>
        </w:trPr>
        <w:tc>
          <w:tcPr>
            <w:tcW w:w="3261" w:type="dxa"/>
          </w:tcPr>
          <w:p w14:paraId="7C06B2C2" w14:textId="77777777" w:rsidR="00450FCB" w:rsidRPr="00472EB8" w:rsidRDefault="00450FCB" w:rsidP="00450FCB">
            <w:pPr>
              <w:rPr>
                <w:rFonts w:ascii="Century Gothic" w:eastAsia="Arial Narrow" w:hAnsi="Century Gothic" w:cs="Arial Narrow"/>
                <w:b/>
                <w:color w:val="002060"/>
                <w:sz w:val="10"/>
                <w:szCs w:val="10"/>
              </w:rPr>
            </w:pPr>
          </w:p>
          <w:p w14:paraId="2804C7EB" w14:textId="77777777" w:rsidR="00450FCB" w:rsidRDefault="00450FCB" w:rsidP="00450FCB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Cible clientèle</w:t>
            </w:r>
          </w:p>
        </w:tc>
        <w:tc>
          <w:tcPr>
            <w:tcW w:w="7655" w:type="dxa"/>
          </w:tcPr>
          <w:p w14:paraId="5A765D8F" w14:textId="77777777" w:rsidR="00450FCB" w:rsidRPr="005644AB" w:rsidRDefault="00450FCB" w:rsidP="00450FCB">
            <w:pPr>
              <w:pStyle w:val="Paragraphedelist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36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  <w:p w14:paraId="09F012F7" w14:textId="77777777" w:rsidR="00450FCB" w:rsidRPr="00F01BD9" w:rsidRDefault="33DF18F6" w:rsidP="24459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hanging="2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Les personnes physiques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 : </w:t>
            </w:r>
          </w:p>
          <w:p w14:paraId="59A2CAF9" w14:textId="77777777" w:rsidR="00450FCB" w:rsidRDefault="24459A67" w:rsidP="00661CE2">
            <w:pPr>
              <w:pStyle w:val="Paragraphedelist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Non-salarié : commerçants, entrepreneurs,</w:t>
            </w:r>
          </w:p>
          <w:p w14:paraId="5666DC4E" w14:textId="3FAA14FD" w:rsidR="005A4B0F" w:rsidRPr="00F01BD9" w:rsidRDefault="005A4B0F" w:rsidP="00661CE2">
            <w:pPr>
              <w:pStyle w:val="Paragraphedelist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Salarié : </w:t>
            </w:r>
            <w:proofErr w:type="gramStart"/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Fonctionnaire ,</w:t>
            </w:r>
            <w:proofErr w:type="gramEnd"/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Privé </w:t>
            </w:r>
          </w:p>
        </w:tc>
      </w:tr>
      <w:tr w:rsidR="005D1911" w:rsidRPr="0099172D" w14:paraId="101D73DF" w14:textId="77777777" w:rsidTr="6F195ADD">
        <w:trPr>
          <w:trHeight w:val="802"/>
        </w:trPr>
        <w:tc>
          <w:tcPr>
            <w:tcW w:w="3261" w:type="dxa"/>
          </w:tcPr>
          <w:p w14:paraId="028BAF51" w14:textId="77777777" w:rsidR="000B410F" w:rsidRPr="0099172D" w:rsidRDefault="000B410F" w:rsidP="006E0AA3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</w:p>
          <w:p w14:paraId="43D16C4D" w14:textId="77777777" w:rsidR="00B20EDE" w:rsidRDefault="00B20EDE" w:rsidP="006E0AA3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</w:p>
          <w:p w14:paraId="54349074" w14:textId="77777777" w:rsidR="00B20EDE" w:rsidRDefault="00B20EDE" w:rsidP="006E0AA3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</w:p>
          <w:p w14:paraId="7F9691BF" w14:textId="77777777" w:rsidR="00065071" w:rsidRPr="0099172D" w:rsidRDefault="001911BD" w:rsidP="006E0AA3">
            <w:pPr>
              <w:ind w:left="0" w:hanging="2"/>
              <w:rPr>
                <w:rFonts w:ascii="Century Gothic" w:hAnsi="Century Gothic"/>
                <w:color w:val="002060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P</w:t>
            </w:r>
            <w:r w:rsidR="000B410F"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rincipales caractéristiques</w:t>
            </w:r>
          </w:p>
        </w:tc>
        <w:tc>
          <w:tcPr>
            <w:tcW w:w="7655" w:type="dxa"/>
          </w:tcPr>
          <w:p w14:paraId="4E6243E6" w14:textId="77777777" w:rsidR="008059AF" w:rsidRPr="00007586" w:rsidRDefault="008059AF" w:rsidP="006E0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="0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  <w:p w14:paraId="2AD39D9B" w14:textId="77777777" w:rsidR="006B7AB7" w:rsidRDefault="7AAAEEAF" w:rsidP="006B7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L’obtention du crédit est soumise aux règles de procédures définies en interne après obtention des renseignements et justificatifs nécessaires concernant le client.</w:t>
            </w:r>
          </w:p>
          <w:p w14:paraId="13520EFD" w14:textId="77777777" w:rsidR="006B7AB7" w:rsidRPr="00472EB8" w:rsidRDefault="006B7AB7" w:rsidP="24459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  <w:p w14:paraId="4E15C4EB" w14:textId="5231F25A" w:rsidR="006B7AB7" w:rsidRPr="004D56A8" w:rsidRDefault="7AAAEEAF" w:rsidP="006B7AB7">
            <w:pPr>
              <w:pStyle w:val="Paragraphedeliste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 xml:space="preserve">Montant minimum : </w:t>
            </w:r>
            <w:r w:rsidR="005A4B0F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N/A</w:t>
            </w:r>
          </w:p>
          <w:p w14:paraId="34305060" w14:textId="2F36D418" w:rsidR="006B7AB7" w:rsidRPr="004D56A8" w:rsidRDefault="7AAAEEAF" w:rsidP="006B7AB7">
            <w:pPr>
              <w:pStyle w:val="Paragraphedeliste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 xml:space="preserve">Montant maximum : </w:t>
            </w:r>
            <w:r w:rsidR="005D51A3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5.000.000 FCFA</w:t>
            </w:r>
          </w:p>
          <w:p w14:paraId="3C884705" w14:textId="77777777" w:rsidR="00472EB8" w:rsidRPr="00007586" w:rsidRDefault="00472EB8" w:rsidP="00472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  <w:p w14:paraId="531963FB" w14:textId="77777777" w:rsidR="00472EB8" w:rsidRPr="00007586" w:rsidRDefault="00472EB8" w:rsidP="00472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</w:tc>
      </w:tr>
      <w:tr w:rsidR="24459A67" w14:paraId="3FF900F2" w14:textId="77777777" w:rsidTr="6F195ADD">
        <w:trPr>
          <w:trHeight w:val="1211"/>
        </w:trPr>
        <w:tc>
          <w:tcPr>
            <w:tcW w:w="3261" w:type="dxa"/>
            <w:vAlign w:val="center"/>
          </w:tcPr>
          <w:p w14:paraId="54F2E3C3" w14:textId="77777777" w:rsidR="24459A67" w:rsidRDefault="24459A67" w:rsidP="24459A67">
            <w:pPr>
              <w:ind w:left="0" w:hanging="2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Critères d’éligibilité</w:t>
            </w:r>
          </w:p>
        </w:tc>
        <w:tc>
          <w:tcPr>
            <w:tcW w:w="7655" w:type="dxa"/>
          </w:tcPr>
          <w:p w14:paraId="1914BDE7" w14:textId="77777777" w:rsidR="24459A67" w:rsidRDefault="24459A67" w:rsidP="00661CE2">
            <w:pPr>
              <w:spacing w:after="160" w:line="259" w:lineRule="auto"/>
              <w:ind w:leftChars="0" w:left="0" w:firstLineChars="0" w:firstLine="0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</w:p>
          <w:p w14:paraId="6F01C70F" w14:textId="77777777" w:rsidR="00BD08B4" w:rsidRDefault="00BD08B4" w:rsidP="00BD08B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Salariés, fonctionnaires, commerçants avec domiciliation</w:t>
            </w:r>
            <w:r w:rsidRPr="7E12529F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 xml:space="preserve"> :</w:t>
            </w:r>
          </w:p>
          <w:p w14:paraId="323E6A95" w14:textId="77777777" w:rsidR="00BD08B4" w:rsidRDefault="00BD08B4" w:rsidP="00BD08B4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Être âgé d’au moins 21 ans ;</w:t>
            </w:r>
          </w:p>
          <w:p w14:paraId="1F8BB1C5" w14:textId="77777777" w:rsidR="00BD08B4" w:rsidRDefault="00BD08B4" w:rsidP="00BD08B4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 xml:space="preserve">Justifier d’une activité à revenu stable ; </w:t>
            </w:r>
          </w:p>
          <w:p w14:paraId="4D2F8BA9" w14:textId="77777777" w:rsidR="00BD08B4" w:rsidRDefault="00BD08B4" w:rsidP="00BD08B4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Avoir son domicile principal au Gabon ;</w:t>
            </w:r>
          </w:p>
          <w:p w14:paraId="340DBBF8" w14:textId="77777777" w:rsidR="00BD08B4" w:rsidRPr="00BD08B4" w:rsidRDefault="00BD08B4" w:rsidP="00BD08B4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Ne pas avoir d’antécédents avec une autre institution financière.</w:t>
            </w:r>
          </w:p>
          <w:p w14:paraId="5A86E81E" w14:textId="77777777" w:rsidR="00BD08B4" w:rsidRPr="00BD08B4" w:rsidRDefault="00BD08B4" w:rsidP="00BD08B4">
            <w:pPr>
              <w:pStyle w:val="Paragraphedeliste"/>
              <w:spacing w:after="160" w:line="259" w:lineRule="auto"/>
              <w:ind w:leftChars="0" w:left="0" w:firstLineChars="0" w:firstLine="0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</w:p>
          <w:p w14:paraId="4BC60A6E" w14:textId="4756B361" w:rsidR="24459A67" w:rsidRDefault="00841ABF" w:rsidP="7E12529F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Salariés, fonctionnaires, commerçants</w:t>
            </w:r>
            <w:r w:rsidR="00AA4600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 xml:space="preserve"> </w:t>
            </w:r>
            <w:r w:rsidR="005A4B0F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sans</w:t>
            </w:r>
            <w:r w:rsidR="00AA4600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 xml:space="preserve"> domiciliation</w:t>
            </w:r>
            <w:r w:rsidR="24459A67" w:rsidRPr="7E12529F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 xml:space="preserve"> :</w:t>
            </w:r>
          </w:p>
          <w:p w14:paraId="078AEAB1" w14:textId="77777777" w:rsidR="24459A67" w:rsidRDefault="24459A67" w:rsidP="24459A67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Être âgé d’au moins 21 ans ;</w:t>
            </w:r>
          </w:p>
          <w:p w14:paraId="775A3BC6" w14:textId="77777777" w:rsidR="24459A67" w:rsidRDefault="24459A67" w:rsidP="24459A67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 xml:space="preserve">Justifier d’une activité à revenu stable ; </w:t>
            </w:r>
          </w:p>
          <w:p w14:paraId="5BB412F7" w14:textId="77777777" w:rsidR="24459A67" w:rsidRPr="005A4B0F" w:rsidRDefault="24459A67" w:rsidP="24459A67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Avoir son domicile principal au Gabon ;</w:t>
            </w:r>
          </w:p>
          <w:p w14:paraId="14EEA9F6" w14:textId="4082C4A6" w:rsidR="005A4B0F" w:rsidRDefault="005A4B0F" w:rsidP="24459A67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t>Prélèvement à la source</w:t>
            </w:r>
          </w:p>
          <w:p w14:paraId="26486746" w14:textId="77777777" w:rsidR="24459A67" w:rsidRPr="00BD08B4" w:rsidRDefault="24459A67" w:rsidP="24459A67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ind w:left="0" w:hanging="2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  <w:lastRenderedPageBreak/>
              <w:t>Ne pas avoir d’antécédents avec une autre institution financière.</w:t>
            </w:r>
          </w:p>
          <w:p w14:paraId="61EDD2F0" w14:textId="77777777" w:rsidR="00BD08B4" w:rsidRDefault="00BD08B4" w:rsidP="00BD08B4">
            <w:pPr>
              <w:pStyle w:val="Paragraphedeliste"/>
              <w:spacing w:after="160" w:line="259" w:lineRule="auto"/>
              <w:ind w:leftChars="0" w:left="0" w:firstLineChars="0" w:firstLine="0"/>
              <w:rPr>
                <w:rFonts w:ascii="Century Gothic" w:eastAsia="Arial Narrow" w:hAnsi="Century Gothic" w:cs="Arial Narrow"/>
                <w:color w:val="002060"/>
                <w:sz w:val="22"/>
                <w:szCs w:val="22"/>
                <w:lang w:val="fr"/>
              </w:rPr>
            </w:pPr>
          </w:p>
          <w:p w14:paraId="615164AD" w14:textId="77777777" w:rsidR="00BD08B4" w:rsidRDefault="00BD08B4" w:rsidP="00BD08B4">
            <w:pPr>
              <w:pStyle w:val="Paragraphedeliste"/>
              <w:spacing w:after="160" w:line="259" w:lineRule="auto"/>
              <w:ind w:leftChars="0" w:left="0" w:firstLineChars="0" w:firstLine="0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  <w:lang w:val="en-US"/>
              </w:rPr>
            </w:pPr>
          </w:p>
          <w:p w14:paraId="42AE9E3A" w14:textId="77777777" w:rsidR="24459A67" w:rsidRDefault="24459A67" w:rsidP="24459A67">
            <w:pPr>
              <w:ind w:left="-2" w:firstLine="0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</w:tc>
      </w:tr>
      <w:tr w:rsidR="00313C0A" w:rsidRPr="0099172D" w14:paraId="10C843D1" w14:textId="77777777" w:rsidTr="6F195ADD">
        <w:trPr>
          <w:trHeight w:val="1211"/>
        </w:trPr>
        <w:tc>
          <w:tcPr>
            <w:tcW w:w="3261" w:type="dxa"/>
            <w:vAlign w:val="center"/>
          </w:tcPr>
          <w:p w14:paraId="4EA610A4" w14:textId="77777777" w:rsidR="00313C0A" w:rsidRPr="0099172D" w:rsidRDefault="00313C0A" w:rsidP="00313C0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lastRenderedPageBreak/>
              <w:t xml:space="preserve">Tarification </w:t>
            </w:r>
          </w:p>
        </w:tc>
        <w:tc>
          <w:tcPr>
            <w:tcW w:w="7655" w:type="dxa"/>
          </w:tcPr>
          <w:p w14:paraId="53D93D6B" w14:textId="77777777" w:rsidR="00313C0A" w:rsidRPr="0099172D" w:rsidRDefault="00313C0A" w:rsidP="00313C0A">
            <w:pPr>
              <w:ind w:left="-2" w:firstLine="0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  <w:p w14:paraId="5016038B" w14:textId="7C085289" w:rsidR="00313C0A" w:rsidRDefault="0F74B04E" w:rsidP="00313C0A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Frais de dossier : </w:t>
            </w:r>
            <w:r w:rsidR="00AA4600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2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% du montant sollicité</w:t>
            </w:r>
          </w:p>
          <w:p w14:paraId="1557F212" w14:textId="2CDCADD5" w:rsidR="005A4B0F" w:rsidRPr="00472EB8" w:rsidRDefault="005A4B0F" w:rsidP="00313C0A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Frais d’assurance : 1% du montant sollicité </w:t>
            </w:r>
          </w:p>
          <w:p w14:paraId="7792C4E2" w14:textId="63320F4C" w:rsidR="24459A67" w:rsidRDefault="24459A67" w:rsidP="24459A6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color w:val="002060"/>
                <w:sz w:val="22"/>
                <w:szCs w:val="22"/>
              </w:rPr>
            </w:pPr>
            <w:r w:rsidRPr="7E12529F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Commission : </w:t>
            </w:r>
            <w:r w:rsidR="00841ABF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5% pour les clients domiciliés à BAMBOO EMF ,</w:t>
            </w:r>
            <w:r w:rsidRPr="7E12529F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10 </w:t>
            </w:r>
            <w:r w:rsidR="00841ABF" w:rsidRPr="7E12529F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% </w:t>
            </w:r>
            <w:r w:rsidR="00841ABF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pour les clients </w:t>
            </w:r>
            <w:r w:rsidR="005A4B0F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sans domiciliation </w:t>
            </w:r>
          </w:p>
          <w:p w14:paraId="549806B0" w14:textId="77777777" w:rsidR="00313C0A" w:rsidRDefault="0F74B04E" w:rsidP="00313C0A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Durée de remboursement : </w:t>
            </w:r>
            <w:r w:rsidR="51320168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3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mois maximum </w:t>
            </w:r>
          </w:p>
          <w:p w14:paraId="6745800D" w14:textId="77777777" w:rsidR="00313C0A" w:rsidRDefault="0F74B04E" w:rsidP="00313C0A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Capacité d’endettement : 33% (Quotité cessible)</w:t>
            </w:r>
          </w:p>
          <w:p w14:paraId="704E6510" w14:textId="1A05E883" w:rsidR="00313C0A" w:rsidRDefault="0F74B04E" w:rsidP="104B4FB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Pénalité de retard : 0,</w:t>
            </w:r>
            <w:r w:rsidR="00AA4600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4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%</w:t>
            </w:r>
            <w:r w:rsidR="00AA4600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du montant de l’échéance +1000 par </w:t>
            </w:r>
            <w:r w:rsidR="00841ABF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jour </w:t>
            </w:r>
            <w:r w:rsidR="00841ABF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par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jour de retard </w:t>
            </w:r>
          </w:p>
          <w:p w14:paraId="0A87F7B3" w14:textId="7ADAB359" w:rsidR="24459A67" w:rsidRDefault="24459A67" w:rsidP="24459A6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Pénalité d’annulation : Pénalité auprès du Partenaire à la charge du client en cas d’annulation du billet pour non règlement dans les délais + 5% TTC des frais de dossier facturé par </w:t>
            </w:r>
            <w:r w:rsidR="00321AF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BAMBOO EMF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le tout prélevé sur les 20%-30% versé par le client</w:t>
            </w:r>
          </w:p>
          <w:p w14:paraId="1D363C43" w14:textId="77777777" w:rsidR="24459A67" w:rsidRDefault="24459A67" w:rsidP="24459A67">
            <w:pPr>
              <w:spacing w:line="240" w:lineRule="auto"/>
              <w:ind w:left="0" w:hanging="2"/>
              <w:jc w:val="both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</w:pPr>
          </w:p>
          <w:p w14:paraId="44B28C97" w14:textId="77777777" w:rsidR="00313C0A" w:rsidRPr="00702D8A" w:rsidRDefault="00313C0A" w:rsidP="00313C0A">
            <w:pPr>
              <w:pStyle w:val="Paragraphedeliste"/>
              <w:spacing w:line="240" w:lineRule="auto"/>
              <w:ind w:leftChars="0" w:left="36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</w:tc>
      </w:tr>
    </w:tbl>
    <w:p w14:paraId="6DDE5CEC" w14:textId="77777777" w:rsidR="00083A21" w:rsidRDefault="00083A21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069FCC30" w14:textId="77777777" w:rsidR="104B4FB7" w:rsidRDefault="104B4FB7" w:rsidP="24459A67">
      <w:pPr>
        <w:spacing w:after="200" w:line="276" w:lineRule="auto"/>
        <w:rPr>
          <w:rFonts w:ascii="Century Gothic" w:eastAsia="Calibri" w:hAnsi="Century Gothic"/>
          <w:b/>
          <w:bCs/>
          <w:color w:val="002060"/>
          <w:sz w:val="10"/>
          <w:szCs w:val="10"/>
          <w:lang w:eastAsia="en-US"/>
        </w:rPr>
      </w:pPr>
    </w:p>
    <w:p w14:paraId="3B690A0E" w14:textId="77777777" w:rsidR="00712C14" w:rsidRDefault="00712C14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47B392E7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tbl>
      <w:tblPr>
        <w:tblW w:w="10916" w:type="dxa"/>
        <w:tblInd w:w="-885" w:type="dxa"/>
        <w:tblBorders>
          <w:top w:val="single" w:sz="8" w:space="0" w:color="87C23C" w:themeColor="accent4"/>
          <w:left w:val="single" w:sz="8" w:space="0" w:color="87C23C" w:themeColor="accent4"/>
          <w:bottom w:val="single" w:sz="8" w:space="0" w:color="87C23C" w:themeColor="accent4"/>
          <w:right w:val="single" w:sz="8" w:space="0" w:color="87C23C" w:themeColor="accent4"/>
          <w:insideH w:val="single" w:sz="8" w:space="0" w:color="87C23C" w:themeColor="accent4"/>
          <w:insideV w:val="single" w:sz="8" w:space="0" w:color="87C23C" w:themeColor="accent4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7655"/>
      </w:tblGrid>
      <w:tr w:rsidR="00B20EDE" w:rsidRPr="0099172D" w14:paraId="6347D1F0" w14:textId="77777777" w:rsidTr="24459A67">
        <w:trPr>
          <w:trHeight w:val="465"/>
        </w:trPr>
        <w:tc>
          <w:tcPr>
            <w:tcW w:w="3261" w:type="dxa"/>
            <w:tcBorders>
              <w:right w:val="single" w:sz="8" w:space="0" w:color="FFFFFF" w:themeColor="background1"/>
            </w:tcBorders>
            <w:shd w:val="clear" w:color="auto" w:fill="60AB18" w:themeFill="accent3"/>
          </w:tcPr>
          <w:p w14:paraId="4F177D43" w14:textId="77777777" w:rsidR="00B20EDE" w:rsidRPr="00E22C9A" w:rsidRDefault="00B20EDE" w:rsidP="00EE601A">
            <w:pPr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8"/>
                <w:szCs w:val="8"/>
              </w:rPr>
            </w:pPr>
          </w:p>
          <w:p w14:paraId="532D48E8" w14:textId="77777777" w:rsidR="00B20EDE" w:rsidRPr="00E22C9A" w:rsidRDefault="00B20EDE" w:rsidP="00EE601A">
            <w:pPr>
              <w:ind w:left="0" w:hanging="2"/>
              <w:jc w:val="center"/>
              <w:rPr>
                <w:rFonts w:ascii="Century Gothic" w:eastAsia="Arial Narrow" w:hAnsi="Century Gothic" w:cs="Arial Narrow"/>
                <w:color w:val="FFFFFF" w:themeColor="background1"/>
                <w:sz w:val="22"/>
                <w:szCs w:val="22"/>
              </w:rPr>
            </w:pPr>
            <w:r w:rsidRPr="00E22C9A">
              <w:rPr>
                <w:rFonts w:ascii="Century Gothic" w:eastAsia="Arial Narrow" w:hAnsi="Century Gothic" w:cs="Arial Narrow"/>
                <w:b/>
                <w:color w:val="FFFFFF" w:themeColor="background1"/>
                <w:sz w:val="22"/>
                <w:szCs w:val="22"/>
              </w:rPr>
              <w:t>N° Référencement</w:t>
            </w:r>
          </w:p>
        </w:tc>
        <w:tc>
          <w:tcPr>
            <w:tcW w:w="7655" w:type="dxa"/>
            <w:tcBorders>
              <w:left w:val="single" w:sz="8" w:space="0" w:color="FFFFFF" w:themeColor="background1"/>
            </w:tcBorders>
            <w:shd w:val="clear" w:color="auto" w:fill="60AB18" w:themeFill="accent3"/>
          </w:tcPr>
          <w:p w14:paraId="0B52D6C2" w14:textId="77777777" w:rsidR="00B20EDE" w:rsidRPr="00E22C9A" w:rsidRDefault="00B20EDE" w:rsidP="00EE601A">
            <w:pPr>
              <w:jc w:val="center"/>
              <w:rPr>
                <w:rFonts w:ascii="Century Gothic" w:eastAsia="Arial Narrow" w:hAnsi="Century Gothic" w:cs="Arial Narrow"/>
                <w:b/>
                <w:color w:val="FFFFFF" w:themeColor="background1"/>
                <w:sz w:val="8"/>
                <w:szCs w:val="8"/>
              </w:rPr>
            </w:pPr>
          </w:p>
          <w:p w14:paraId="0405883A" w14:textId="2817AEDB" w:rsidR="00B20EDE" w:rsidRPr="00E22C9A" w:rsidRDefault="00B20EDE" w:rsidP="24459A67">
            <w:pPr>
              <w:ind w:left="0" w:hanging="2"/>
              <w:jc w:val="center"/>
              <w:rPr>
                <w:rFonts w:ascii="Century Gothic" w:eastAsia="Arial Narrow" w:hAnsi="Century Gothic" w:cs="Arial Narrow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313C0A" w:rsidRPr="0099172D" w14:paraId="70F5F3F3" w14:textId="77777777" w:rsidTr="24459A67">
        <w:trPr>
          <w:trHeight w:val="445"/>
        </w:trPr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554DDF38" w14:textId="77777777" w:rsidR="00313C0A" w:rsidRPr="0099172D" w:rsidRDefault="00313C0A" w:rsidP="00313C0A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Nom du produit / Service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27794AED" w14:textId="77777777" w:rsidR="00313C0A" w:rsidRPr="0099172D" w:rsidRDefault="00313C0A" w:rsidP="00313C0A">
            <w:pPr>
              <w:ind w:left="-2" w:firstLine="0"/>
              <w:jc w:val="both"/>
              <w:rPr>
                <w:rFonts w:ascii="Century Gothic" w:eastAsia="Arial Narrow" w:hAnsi="Century Gothic" w:cs="Arial Narrow"/>
                <w:b/>
                <w:color w:val="002060"/>
                <w:sz w:val="4"/>
                <w:szCs w:val="4"/>
              </w:rPr>
            </w:pPr>
          </w:p>
          <w:p w14:paraId="733C28EE" w14:textId="36FBD4F6" w:rsidR="00313C0A" w:rsidRPr="0099172D" w:rsidRDefault="00AA4600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  <w:proofErr w:type="spellStart"/>
            <w:proofErr w:type="gramStart"/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easyfly</w:t>
            </w:r>
            <w:proofErr w:type="spellEnd"/>
            <w:proofErr w:type="gramEnd"/>
          </w:p>
          <w:p w14:paraId="65FB338F" w14:textId="77777777" w:rsidR="00313C0A" w:rsidRPr="0099172D" w:rsidRDefault="00313C0A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</w:p>
        </w:tc>
      </w:tr>
      <w:tr w:rsidR="00313C0A" w:rsidRPr="0099172D" w14:paraId="21A3826B" w14:textId="77777777" w:rsidTr="24459A67">
        <w:trPr>
          <w:trHeight w:val="423"/>
        </w:trPr>
        <w:tc>
          <w:tcPr>
            <w:tcW w:w="3261" w:type="dxa"/>
            <w:vAlign w:val="center"/>
          </w:tcPr>
          <w:p w14:paraId="269CACE9" w14:textId="77777777" w:rsidR="00313C0A" w:rsidRPr="0099172D" w:rsidRDefault="00313C0A" w:rsidP="00313C0A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Catégorie</w:t>
            </w: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 de crédit</w:t>
            </w:r>
          </w:p>
        </w:tc>
        <w:tc>
          <w:tcPr>
            <w:tcW w:w="7655" w:type="dxa"/>
          </w:tcPr>
          <w:p w14:paraId="63A23564" w14:textId="77777777" w:rsidR="00313C0A" w:rsidRPr="0099172D" w:rsidRDefault="00313C0A" w:rsidP="00313C0A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  <w:p w14:paraId="60E739DB" w14:textId="77777777" w:rsidR="00313C0A" w:rsidRPr="0099172D" w:rsidRDefault="00313C0A" w:rsidP="00313C0A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  <w:r w:rsidRPr="0099172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Crédit</w:t>
            </w:r>
            <w:r w:rsidR="00487C26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à la consommation</w:t>
            </w:r>
          </w:p>
        </w:tc>
      </w:tr>
      <w:tr w:rsidR="006B7AB7" w:rsidRPr="0099172D" w14:paraId="2214B599" w14:textId="77777777" w:rsidTr="24459A67">
        <w:trPr>
          <w:trHeight w:val="423"/>
        </w:trPr>
        <w:tc>
          <w:tcPr>
            <w:tcW w:w="3261" w:type="dxa"/>
            <w:shd w:val="clear" w:color="auto" w:fill="FFFFFF" w:themeFill="background1"/>
            <w:vAlign w:val="center"/>
          </w:tcPr>
          <w:p w14:paraId="18CF0004" w14:textId="77777777" w:rsidR="006B7AB7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 w:rsidRPr="00B20EDE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Autres conditions tarif</w:t>
            </w: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aires</w:t>
            </w:r>
          </w:p>
        </w:tc>
        <w:tc>
          <w:tcPr>
            <w:tcW w:w="7655" w:type="dxa"/>
            <w:shd w:val="clear" w:color="auto" w:fill="FFFFFF" w:themeFill="background1"/>
          </w:tcPr>
          <w:p w14:paraId="58405552" w14:textId="69C33077" w:rsidR="006B7AB7" w:rsidRPr="00B20EDE" w:rsidRDefault="7AAAEEAF" w:rsidP="006B7AB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Délais de déblocage : </w:t>
            </w:r>
            <w:r w:rsidR="00AA4600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72</w:t>
            </w: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heures</w:t>
            </w:r>
          </w:p>
          <w:p w14:paraId="371609A6" w14:textId="77777777" w:rsidR="006B7AB7" w:rsidRPr="00B20EDE" w:rsidRDefault="7AAAEEAF" w:rsidP="006B7AB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Durée de validité de l’offre : N/A</w:t>
            </w:r>
          </w:p>
          <w:p w14:paraId="637CFD7E" w14:textId="77777777" w:rsidR="006B7AB7" w:rsidRDefault="7AAAEEAF" w:rsidP="24459A6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Durée minimum écoulée pour anticiper : </w:t>
            </w: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: N/A</w:t>
            </w:r>
          </w:p>
          <w:p w14:paraId="4D15C2F5" w14:textId="77777777" w:rsidR="03B16025" w:rsidRDefault="79888AAD" w:rsidP="24459A6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  <w:t xml:space="preserve">Durée restante à </w:t>
            </w:r>
            <w:r w:rsidR="034593F5" w:rsidRPr="24459A67"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  <w:t>courir :</w:t>
            </w:r>
            <w:r w:rsidRPr="24459A67">
              <w:rPr>
                <w:rFonts w:ascii="Century Gothic" w:eastAsia="Century Gothic" w:hAnsi="Century Gothic" w:cs="Century Gothic"/>
                <w:color w:val="002060"/>
                <w:sz w:val="22"/>
                <w:szCs w:val="22"/>
              </w:rPr>
              <w:t xml:space="preserve"> N/A  </w:t>
            </w:r>
          </w:p>
          <w:p w14:paraId="56E51854" w14:textId="77777777" w:rsidR="00712C14" w:rsidRDefault="7AAAEEAF" w:rsidP="00EE601A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Remboursement anticipé : totalité des échéances dues </w:t>
            </w:r>
          </w:p>
          <w:p w14:paraId="2DE33ADD" w14:textId="77777777" w:rsidR="006B7AB7" w:rsidRPr="00712C14" w:rsidRDefault="7AAAEEAF" w:rsidP="00EE601A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Commission sur remboursement anticipé : N/A</w:t>
            </w:r>
          </w:p>
          <w:p w14:paraId="0155FCCB" w14:textId="77777777" w:rsidR="006B7AB7" w:rsidRDefault="7AAAEEAF" w:rsidP="006B7AB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Nombre de décalage d’échéances : 1</w:t>
            </w:r>
          </w:p>
          <w:p w14:paraId="5ACF9651" w14:textId="77777777" w:rsidR="006B7AB7" w:rsidRDefault="7AAAEEAF" w:rsidP="006B7AB7">
            <w:pPr>
              <w:pStyle w:val="Paragraphedeliste"/>
              <w:numPr>
                <w:ilvl w:val="0"/>
                <w:numId w:val="9"/>
              </w:numPr>
              <w:spacing w:line="240" w:lineRule="auto"/>
              <w:ind w:leftChars="0" w:firstLineChars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Commission sur décalage : 3</w:t>
            </w:r>
            <w:r w:rsidR="2C7C5D49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%</w:t>
            </w:r>
          </w:p>
          <w:p w14:paraId="68C67F76" w14:textId="77777777" w:rsidR="006B7AB7" w:rsidRPr="0099172D" w:rsidRDefault="006B7AB7" w:rsidP="006B7AB7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6"/>
                <w:szCs w:val="6"/>
              </w:rPr>
            </w:pPr>
          </w:p>
        </w:tc>
      </w:tr>
      <w:tr w:rsidR="006B7AB7" w:rsidRPr="0099172D" w14:paraId="3316F176" w14:textId="77777777" w:rsidTr="24459A67">
        <w:trPr>
          <w:trHeight w:val="355"/>
        </w:trPr>
        <w:tc>
          <w:tcPr>
            <w:tcW w:w="3261" w:type="dxa"/>
            <w:vAlign w:val="center"/>
          </w:tcPr>
          <w:p w14:paraId="0F877F5C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 w:rsidRPr="004B34A2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Sûreté</w:t>
            </w: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s</w:t>
            </w:r>
            <w:r w:rsidRPr="004B34A2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et/</w:t>
            </w:r>
            <w:r w:rsidRPr="004B34A2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ou garantie</w:t>
            </w: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s</w:t>
            </w:r>
          </w:p>
        </w:tc>
        <w:tc>
          <w:tcPr>
            <w:tcW w:w="7655" w:type="dxa"/>
          </w:tcPr>
          <w:p w14:paraId="5C2D988E" w14:textId="77777777" w:rsidR="24459A67" w:rsidRDefault="24459A67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Chèque d’encaissement du montant total de remboursement</w:t>
            </w:r>
          </w:p>
          <w:p w14:paraId="5C4258E6" w14:textId="77777777" w:rsidR="24459A67" w:rsidRDefault="24459A67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Billet à ordre </w:t>
            </w:r>
          </w:p>
          <w:p w14:paraId="78595D2C" w14:textId="7228940C" w:rsidR="24459A67" w:rsidRDefault="24459A67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Apport personnel 20% </w:t>
            </w:r>
            <w:r w:rsidR="00AA4600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en fond garantie</w:t>
            </w:r>
          </w:p>
          <w:p w14:paraId="17585739" w14:textId="77777777" w:rsidR="006B7AB7" w:rsidRPr="00187404" w:rsidRDefault="006B7AB7" w:rsidP="002229CD">
            <w:pPr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</w:tc>
      </w:tr>
      <w:tr w:rsidR="006B7AB7" w:rsidRPr="0099172D" w14:paraId="104E1AA0" w14:textId="77777777" w:rsidTr="24459A67">
        <w:trPr>
          <w:trHeight w:val="355"/>
        </w:trPr>
        <w:tc>
          <w:tcPr>
            <w:tcW w:w="3261" w:type="dxa"/>
            <w:vAlign w:val="center"/>
          </w:tcPr>
          <w:p w14:paraId="123A07D9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 xml:space="preserve">Mode de contractualisation </w:t>
            </w:r>
          </w:p>
        </w:tc>
        <w:tc>
          <w:tcPr>
            <w:tcW w:w="7655" w:type="dxa"/>
            <w:shd w:val="clear" w:color="auto" w:fill="auto"/>
          </w:tcPr>
          <w:p w14:paraId="5B21D826" w14:textId="3C6E1A33" w:rsidR="005A4B0F" w:rsidRDefault="005A4B0F" w:rsidP="001D7093">
            <w:pPr>
              <w:ind w:leftChars="0" w:left="0" w:firstLineChars="0" w:firstLine="0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Convention d’entrée en relation</w:t>
            </w:r>
          </w:p>
          <w:p w14:paraId="2BE0C5CB" w14:textId="653C7358" w:rsidR="006B7AB7" w:rsidRDefault="006B7AB7" w:rsidP="001D7093">
            <w:pPr>
              <w:ind w:leftChars="0" w:left="0" w:firstLineChars="0" w:firstLine="0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 w:rsidRPr="00D26DFB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Remise des conditions générales de la clientèle</w:t>
            </w:r>
          </w:p>
          <w:p w14:paraId="119EB338" w14:textId="66EFDBAF" w:rsidR="00542306" w:rsidRPr="005A4B0F" w:rsidRDefault="001D7093" w:rsidP="001D7093">
            <w:pPr>
              <w:ind w:leftChars="0" w:left="0" w:firstLineChars="0" w:firstLine="0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 xml:space="preserve">Contrat de </w:t>
            </w:r>
            <w:r w:rsidR="00841ABF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prêt</w:t>
            </w:r>
          </w:p>
        </w:tc>
      </w:tr>
      <w:tr w:rsidR="24459A67" w14:paraId="362C5A59" w14:textId="77777777" w:rsidTr="24459A67">
        <w:trPr>
          <w:trHeight w:val="403"/>
        </w:trPr>
        <w:tc>
          <w:tcPr>
            <w:tcW w:w="3261" w:type="dxa"/>
            <w:shd w:val="clear" w:color="auto" w:fill="FFFFFF" w:themeFill="background1"/>
            <w:vAlign w:val="center"/>
          </w:tcPr>
          <w:p w14:paraId="1F603735" w14:textId="77777777" w:rsidR="24459A67" w:rsidRDefault="24459A67" w:rsidP="24459A67">
            <w:pPr>
              <w:ind w:left="0" w:hanging="2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Modalités de remboursement</w:t>
            </w:r>
          </w:p>
        </w:tc>
        <w:tc>
          <w:tcPr>
            <w:tcW w:w="7655" w:type="dxa"/>
            <w:shd w:val="clear" w:color="auto" w:fill="FFFFFF" w:themeFill="background1"/>
          </w:tcPr>
          <w:p w14:paraId="49329FE1" w14:textId="7175B3F4" w:rsidR="24459A67" w:rsidRDefault="24459A67" w:rsidP="24459A6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 xml:space="preserve">Le remboursement des échéances se fait de façon mensuelle sur la base de virements, prélèvements ou versements </w:t>
            </w:r>
          </w:p>
        </w:tc>
      </w:tr>
      <w:tr w:rsidR="006B7AB7" w:rsidRPr="0099172D" w14:paraId="69DD11D0" w14:textId="77777777" w:rsidTr="24459A67">
        <w:trPr>
          <w:trHeight w:val="403"/>
        </w:trPr>
        <w:tc>
          <w:tcPr>
            <w:tcW w:w="3261" w:type="dxa"/>
            <w:shd w:val="clear" w:color="auto" w:fill="FFFFFF" w:themeFill="background1"/>
            <w:vAlign w:val="center"/>
          </w:tcPr>
          <w:p w14:paraId="5E92D97A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Principaux risques associés</w:t>
            </w:r>
          </w:p>
        </w:tc>
        <w:tc>
          <w:tcPr>
            <w:tcW w:w="7655" w:type="dxa"/>
            <w:shd w:val="clear" w:color="auto" w:fill="FFFFFF" w:themeFill="background1"/>
          </w:tcPr>
          <w:p w14:paraId="42AE12A8" w14:textId="77777777" w:rsidR="006B7AB7" w:rsidRPr="0099172D" w:rsidRDefault="006B7AB7" w:rsidP="006B7AB7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  <w:p w14:paraId="2B0EA21B" w14:textId="223EBC80" w:rsidR="006B7AB7" w:rsidRDefault="006B7AB7" w:rsidP="006B7AB7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Non-conformité, opérationnel, juridique,</w:t>
            </w: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</w:t>
            </w:r>
            <w:r w:rsidR="005D51A3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crédit, </w:t>
            </w:r>
            <w:r w:rsidR="00220068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manque d’assurance invalidité</w:t>
            </w:r>
          </w:p>
          <w:p w14:paraId="6B6DAEF0" w14:textId="77777777" w:rsidR="006B7AB7" w:rsidRPr="00054548" w:rsidRDefault="006B7AB7" w:rsidP="006B7AB7">
            <w:pPr>
              <w:ind w:leftChars="0" w:left="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</w:tc>
      </w:tr>
      <w:tr w:rsidR="006B7AB7" w:rsidRPr="0099172D" w14:paraId="49BFC761" w14:textId="77777777" w:rsidTr="24459A67">
        <w:trPr>
          <w:trHeight w:val="692"/>
        </w:trPr>
        <w:tc>
          <w:tcPr>
            <w:tcW w:w="3261" w:type="dxa"/>
            <w:shd w:val="clear" w:color="auto" w:fill="FFFFFF" w:themeFill="background1"/>
            <w:vAlign w:val="center"/>
          </w:tcPr>
          <w:p w14:paraId="610156AA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Obligations légales et réglementaires</w:t>
            </w:r>
          </w:p>
        </w:tc>
        <w:tc>
          <w:tcPr>
            <w:tcW w:w="7655" w:type="dxa"/>
            <w:shd w:val="clear" w:color="auto" w:fill="FFFFFF" w:themeFill="background1"/>
          </w:tcPr>
          <w:p w14:paraId="0B66AC80" w14:textId="77777777" w:rsidR="006B7AB7" w:rsidRPr="00A0685A" w:rsidRDefault="006B7AB7" w:rsidP="006B7AB7">
            <w:pPr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  <w:p w14:paraId="7CF45DD3" w14:textId="77777777" w:rsidR="00891460" w:rsidRPr="00891460" w:rsidRDefault="7AAAEEAF" w:rsidP="24459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Gill Sans" w:hAnsi="Century Gothic" w:cs="Gill Sans"/>
                <w:b/>
                <w:bCs/>
                <w:color w:val="002060"/>
                <w:sz w:val="22"/>
                <w:szCs w:val="22"/>
              </w:rPr>
              <w:t>Pièces à fournir :</w:t>
            </w: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 xml:space="preserve"> </w:t>
            </w:r>
          </w:p>
          <w:p w14:paraId="45C051C0" w14:textId="77777777" w:rsidR="009832DB" w:rsidRDefault="7AAAEEAF" w:rsidP="006B7AB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Tous les clients : Pièce d’identité</w:t>
            </w:r>
          </w:p>
          <w:p w14:paraId="7E0D1461" w14:textId="77777777" w:rsidR="006B7AB7" w:rsidRDefault="39ED11C2" w:rsidP="006B7AB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lastRenderedPageBreak/>
              <w:t>F</w:t>
            </w:r>
            <w:r w:rsidR="7AAAEEAF"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acture SEEG.</w:t>
            </w:r>
          </w:p>
          <w:p w14:paraId="56D3C114" w14:textId="4F8D515F" w:rsidR="24459A67" w:rsidRPr="005A4B0F" w:rsidRDefault="24459A67" w:rsidP="24459A67">
            <w:pPr>
              <w:numPr>
                <w:ilvl w:val="0"/>
                <w:numId w:val="15"/>
              </w:numPr>
              <w:spacing w:line="240" w:lineRule="auto"/>
              <w:ind w:leftChars="0" w:firstLineChars="0"/>
              <w:jc w:val="both"/>
              <w:rPr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Demi carte photo (2)</w:t>
            </w:r>
          </w:p>
          <w:p w14:paraId="5D72BE8F" w14:textId="4B10205C" w:rsidR="005A4B0F" w:rsidRDefault="005A4B0F" w:rsidP="24459A67">
            <w:pPr>
              <w:numPr>
                <w:ilvl w:val="0"/>
                <w:numId w:val="15"/>
              </w:numPr>
              <w:spacing w:line="240" w:lineRule="auto"/>
              <w:ind w:leftChars="0" w:firstLineChars="0"/>
              <w:jc w:val="both"/>
              <w:rPr>
                <w:color w:val="002060"/>
                <w:sz w:val="22"/>
                <w:szCs w:val="22"/>
              </w:rPr>
            </w:pPr>
            <w:r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 xml:space="preserve">Plan de localisation (Google </w:t>
            </w:r>
            <w:proofErr w:type="spellStart"/>
            <w:r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Map</w:t>
            </w:r>
            <w:proofErr w:type="spellEnd"/>
            <w:r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)</w:t>
            </w:r>
          </w:p>
          <w:p w14:paraId="14A2EF37" w14:textId="77777777" w:rsidR="006B7AB7" w:rsidRPr="00450FCB" w:rsidRDefault="006B7AB7" w:rsidP="00222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360" w:firstLineChars="0" w:firstLine="0"/>
              <w:jc w:val="both"/>
              <w:rPr>
                <w:rFonts w:ascii="Century Gothic" w:eastAsia="Gill Sans" w:hAnsi="Century Gothic" w:cs="Gill Sans"/>
                <w:color w:val="002060"/>
                <w:sz w:val="10"/>
                <w:szCs w:val="10"/>
              </w:rPr>
            </w:pPr>
          </w:p>
        </w:tc>
      </w:tr>
      <w:tr w:rsidR="006B7AB7" w:rsidRPr="0099172D" w14:paraId="418F94AF" w14:textId="77777777" w:rsidTr="24459A67">
        <w:trPr>
          <w:trHeight w:val="630"/>
        </w:trPr>
        <w:tc>
          <w:tcPr>
            <w:tcW w:w="3261" w:type="dxa"/>
            <w:shd w:val="clear" w:color="auto" w:fill="FFFFFF" w:themeFill="background1"/>
            <w:vAlign w:val="center"/>
          </w:tcPr>
          <w:p w14:paraId="5D50A921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lastRenderedPageBreak/>
              <w:t>Organisation informatique et comptable</w:t>
            </w:r>
          </w:p>
        </w:tc>
        <w:tc>
          <w:tcPr>
            <w:tcW w:w="7655" w:type="dxa"/>
            <w:shd w:val="clear" w:color="auto" w:fill="FFFFFF" w:themeFill="background1"/>
          </w:tcPr>
          <w:p w14:paraId="7A754F78" w14:textId="77777777" w:rsidR="006B7AB7" w:rsidRPr="0099172D" w:rsidRDefault="006B7AB7" w:rsidP="006B7AB7">
            <w:pPr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  <w:p w14:paraId="0176B1CC" w14:textId="77777777" w:rsidR="006B7AB7" w:rsidRPr="0099172D" w:rsidRDefault="7AAAEEAF" w:rsidP="006B7AB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Traitement dans le </w:t>
            </w:r>
            <w:proofErr w:type="spellStart"/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Core</w:t>
            </w:r>
            <w:proofErr w:type="spellEnd"/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Banking</w:t>
            </w:r>
          </w:p>
        </w:tc>
      </w:tr>
      <w:tr w:rsidR="001D7093" w:rsidRPr="0099172D" w14:paraId="1917FDB5" w14:textId="77777777" w:rsidTr="24459A67">
        <w:trPr>
          <w:trHeight w:val="630"/>
        </w:trPr>
        <w:tc>
          <w:tcPr>
            <w:tcW w:w="3261" w:type="dxa"/>
            <w:shd w:val="clear" w:color="auto" w:fill="FFFFFF" w:themeFill="background1"/>
            <w:vAlign w:val="center"/>
          </w:tcPr>
          <w:p w14:paraId="784E3916" w14:textId="1A618532" w:rsidR="001D7093" w:rsidRPr="0099172D" w:rsidRDefault="001D7093" w:rsidP="002F263A">
            <w:pPr>
              <w:ind w:left="0" w:hanging="2"/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Documents supplémentaires</w:t>
            </w:r>
          </w:p>
        </w:tc>
        <w:tc>
          <w:tcPr>
            <w:tcW w:w="7655" w:type="dxa"/>
            <w:shd w:val="clear" w:color="auto" w:fill="FFFFFF" w:themeFill="background1"/>
          </w:tcPr>
          <w:p w14:paraId="186AA8BB" w14:textId="199E5354" w:rsidR="001D7093" w:rsidRDefault="001D7093" w:rsidP="001D709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Attestation de non endettement (clients extérieurs)</w:t>
            </w:r>
          </w:p>
          <w:p w14:paraId="21DE9D4D" w14:textId="6B1580BE" w:rsidR="001D7093" w:rsidRDefault="00335C78" w:rsidP="001D709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Caution morale</w:t>
            </w:r>
            <w:r w:rsidR="005A4B0F"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 xml:space="preserve"> de l’employeur</w:t>
            </w:r>
          </w:p>
          <w:p w14:paraId="739526DE" w14:textId="67616725" w:rsidR="00335C78" w:rsidRDefault="00335C78" w:rsidP="001D709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  <w:r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  <w:t>Domiciliation invocable</w:t>
            </w:r>
          </w:p>
          <w:p w14:paraId="1E0ED4DE" w14:textId="77777777" w:rsidR="00335C78" w:rsidRDefault="00335C78" w:rsidP="0054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360" w:firstLineChars="0" w:firstLine="0"/>
              <w:jc w:val="both"/>
              <w:rPr>
                <w:rFonts w:ascii="Century Gothic" w:eastAsia="Gill Sans" w:hAnsi="Century Gothic" w:cs="Gill Sans"/>
                <w:color w:val="002060"/>
                <w:sz w:val="22"/>
                <w:szCs w:val="22"/>
              </w:rPr>
            </w:pPr>
          </w:p>
          <w:p w14:paraId="6BF109F5" w14:textId="77777777" w:rsidR="001D7093" w:rsidRPr="0099172D" w:rsidRDefault="001D7093" w:rsidP="006B7AB7">
            <w:pPr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</w:tc>
      </w:tr>
      <w:tr w:rsidR="006B7AB7" w:rsidRPr="0099172D" w14:paraId="39F22CC3" w14:textId="77777777" w:rsidTr="24459A67">
        <w:trPr>
          <w:trHeight w:val="555"/>
        </w:trPr>
        <w:tc>
          <w:tcPr>
            <w:tcW w:w="3261" w:type="dxa"/>
            <w:shd w:val="clear" w:color="auto" w:fill="FFFFFF" w:themeFill="background1"/>
            <w:vAlign w:val="center"/>
          </w:tcPr>
          <w:p w14:paraId="3C47D28B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Formation</w:t>
            </w:r>
          </w:p>
        </w:tc>
        <w:tc>
          <w:tcPr>
            <w:tcW w:w="7655" w:type="dxa"/>
            <w:shd w:val="clear" w:color="auto" w:fill="FFFFFF" w:themeFill="background1"/>
          </w:tcPr>
          <w:p w14:paraId="2A65030D" w14:textId="77777777" w:rsidR="006B7AB7" w:rsidRPr="0099172D" w:rsidRDefault="006B7AB7" w:rsidP="006B7AB7">
            <w:pPr>
              <w:ind w:left="-2" w:firstLine="0"/>
              <w:jc w:val="both"/>
              <w:rPr>
                <w:rFonts w:ascii="Century Gothic" w:eastAsia="Arial Narrow" w:hAnsi="Century Gothic" w:cs="Arial Narrow"/>
                <w:color w:val="002060"/>
                <w:sz w:val="4"/>
                <w:szCs w:val="4"/>
              </w:rPr>
            </w:pPr>
          </w:p>
          <w:p w14:paraId="0032DA6D" w14:textId="77777777" w:rsidR="006B7AB7" w:rsidRPr="0099172D" w:rsidRDefault="6D567D49" w:rsidP="104B4FB7">
            <w:pPr>
              <w:ind w:left="0" w:hanging="2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F</w:t>
            </w:r>
            <w:r w:rsidR="7AAAEEAF" w:rsidRPr="24459A67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ormation interne, Formation Partenaire</w:t>
            </w:r>
          </w:p>
        </w:tc>
      </w:tr>
      <w:tr w:rsidR="006B7AB7" w:rsidRPr="0099172D" w14:paraId="6A4D9762" w14:textId="77777777" w:rsidTr="24459A67">
        <w:trPr>
          <w:trHeight w:val="1269"/>
        </w:trPr>
        <w:tc>
          <w:tcPr>
            <w:tcW w:w="3261" w:type="dxa"/>
            <w:shd w:val="clear" w:color="auto" w:fill="FFFFFF" w:themeFill="background1"/>
            <w:vAlign w:val="center"/>
          </w:tcPr>
          <w:p w14:paraId="1AAC1248" w14:textId="77777777" w:rsidR="006B7AB7" w:rsidRPr="0099172D" w:rsidRDefault="006B7AB7" w:rsidP="006B7AB7">
            <w:pPr>
              <w:ind w:left="0" w:hanging="2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99172D">
              <w:rPr>
                <w:rFonts w:ascii="Century Gothic" w:eastAsia="Arial Narrow" w:hAnsi="Century Gothic" w:cs="Arial Narrow"/>
                <w:b/>
                <w:color w:val="002060"/>
                <w:sz w:val="22"/>
                <w:szCs w:val="22"/>
              </w:rPr>
              <w:t>Communication (Présentation des modalités de communication interne et externe)</w:t>
            </w:r>
          </w:p>
        </w:tc>
        <w:tc>
          <w:tcPr>
            <w:tcW w:w="7655" w:type="dxa"/>
            <w:shd w:val="clear" w:color="auto" w:fill="FFFFFF" w:themeFill="background1"/>
          </w:tcPr>
          <w:p w14:paraId="5646030F" w14:textId="77777777" w:rsidR="006B7AB7" w:rsidRPr="00C10C2F" w:rsidRDefault="006B7AB7" w:rsidP="24459A67">
            <w:pPr>
              <w:pStyle w:val="Paragraphedeliste"/>
              <w:ind w:left="-2" w:firstLineChars="0" w:firstLine="0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10"/>
                <w:szCs w:val="10"/>
              </w:rPr>
            </w:pPr>
          </w:p>
          <w:p w14:paraId="56F04B69" w14:textId="77777777" w:rsidR="006B7AB7" w:rsidRPr="00B20EDE" w:rsidRDefault="006B7AB7" w:rsidP="006B7AB7">
            <w:pPr>
              <w:pStyle w:val="Paragraphedeliste"/>
              <w:numPr>
                <w:ilvl w:val="0"/>
                <w:numId w:val="10"/>
              </w:numPr>
              <w:ind w:leftChars="0" w:firstLineChars="0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00B20EDE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 xml:space="preserve">Communication interne </w:t>
            </w:r>
          </w:p>
          <w:p w14:paraId="5B89E9BD" w14:textId="77777777" w:rsidR="006B7AB7" w:rsidRDefault="006B7AB7" w:rsidP="006B7AB7">
            <w:pPr>
              <w:pStyle w:val="Paragraphedeliste"/>
              <w:ind w:leftChars="0" w:left="36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R</w:t>
            </w:r>
            <w:r w:rsidRPr="00B20EDE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éunion d’exploitation, Affichage, emailing</w:t>
            </w:r>
          </w:p>
          <w:p w14:paraId="54D8D565" w14:textId="77777777" w:rsidR="006B7AB7" w:rsidRPr="00B20EDE" w:rsidRDefault="006B7AB7" w:rsidP="006B7AB7">
            <w:pPr>
              <w:ind w:leftChars="0" w:left="0" w:firstLineChars="0" w:hanging="2"/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  <w:p w14:paraId="1D7F6673" w14:textId="77777777" w:rsidR="006B7AB7" w:rsidRPr="00B20EDE" w:rsidRDefault="006B7AB7" w:rsidP="006B7AB7">
            <w:pPr>
              <w:pStyle w:val="Paragraphedeliste"/>
              <w:numPr>
                <w:ilvl w:val="0"/>
                <w:numId w:val="10"/>
              </w:numPr>
              <w:ind w:leftChars="0" w:firstLineChars="0"/>
              <w:jc w:val="both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00B20EDE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 xml:space="preserve">Communication externe </w:t>
            </w:r>
          </w:p>
          <w:p w14:paraId="3B8A0CB0" w14:textId="7323233B" w:rsidR="006B7AB7" w:rsidRDefault="006B7AB7" w:rsidP="006B7AB7">
            <w:pPr>
              <w:pStyle w:val="Paragraphedeliste"/>
              <w:ind w:leftChars="0" w:left="36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</w:pPr>
            <w:r w:rsidRPr="00B20EDE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Réseaux sociaux, emailing, site </w:t>
            </w:r>
            <w:r w:rsidR="00321AF1" w:rsidRPr="00B20EDE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web, com.</w:t>
            </w:r>
            <w:r w:rsidRPr="00B20EDE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Institutionnel</w:t>
            </w:r>
            <w:r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>s</w:t>
            </w:r>
            <w:r w:rsidR="00321AF1">
              <w:rPr>
                <w:rFonts w:ascii="Century Gothic" w:eastAsia="Arial Narrow" w:hAnsi="Century Gothic" w:cs="Arial Narrow"/>
                <w:color w:val="002060"/>
                <w:sz w:val="22"/>
                <w:szCs w:val="22"/>
              </w:rPr>
              <w:t xml:space="preserve"> et BAMBOO Mobile</w:t>
            </w:r>
          </w:p>
          <w:p w14:paraId="3A159DA5" w14:textId="77777777" w:rsidR="006B7AB7" w:rsidRPr="00C10C2F" w:rsidRDefault="006B7AB7" w:rsidP="006B7AB7">
            <w:pPr>
              <w:pStyle w:val="Paragraphedeliste"/>
              <w:ind w:leftChars="0" w:left="360" w:firstLineChars="0" w:firstLine="0"/>
              <w:jc w:val="both"/>
              <w:rPr>
                <w:rFonts w:ascii="Century Gothic" w:eastAsia="Arial Narrow" w:hAnsi="Century Gothic" w:cs="Arial Narrow"/>
                <w:color w:val="002060"/>
                <w:sz w:val="10"/>
                <w:szCs w:val="10"/>
              </w:rPr>
            </w:pPr>
          </w:p>
        </w:tc>
      </w:tr>
      <w:tr w:rsidR="24459A67" w14:paraId="418628E6" w14:textId="77777777" w:rsidTr="24459A67">
        <w:trPr>
          <w:trHeight w:val="1269"/>
        </w:trPr>
        <w:tc>
          <w:tcPr>
            <w:tcW w:w="3261" w:type="dxa"/>
            <w:shd w:val="clear" w:color="auto" w:fill="FFFFFF" w:themeFill="background1"/>
            <w:vAlign w:val="center"/>
          </w:tcPr>
          <w:p w14:paraId="3DB57FA4" w14:textId="77777777" w:rsidR="24459A67" w:rsidRDefault="24459A67" w:rsidP="24459A67">
            <w:pPr>
              <w:ind w:left="0" w:hanging="2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>B-Case</w:t>
            </w:r>
          </w:p>
        </w:tc>
        <w:tc>
          <w:tcPr>
            <w:tcW w:w="7655" w:type="dxa"/>
            <w:shd w:val="clear" w:color="auto" w:fill="FFFFFF" w:themeFill="background1"/>
          </w:tcPr>
          <w:p w14:paraId="0389336A" w14:textId="713CB39D" w:rsidR="24459A67" w:rsidRDefault="004D43A4" w:rsidP="00321AF1">
            <w:pPr>
              <w:ind w:leftChars="0" w:left="0" w:firstLineChars="0" w:firstLine="0"/>
              <w:jc w:val="both"/>
            </w:pPr>
            <w:hyperlink r:id="rId12" w:history="1">
              <w:r w:rsidRPr="004D43A4">
                <w:rPr>
                  <w:rStyle w:val="Lienhypertexte"/>
                </w:rPr>
                <w:t>BCase_EasyFly_satGuru.xlsx</w:t>
              </w:r>
            </w:hyperlink>
          </w:p>
        </w:tc>
      </w:tr>
      <w:tr w:rsidR="24459A67" w14:paraId="6FE1201A" w14:textId="77777777" w:rsidTr="24459A67">
        <w:trPr>
          <w:trHeight w:val="1269"/>
        </w:trPr>
        <w:tc>
          <w:tcPr>
            <w:tcW w:w="3261" w:type="dxa"/>
            <w:shd w:val="clear" w:color="auto" w:fill="FFFFFF" w:themeFill="background1"/>
            <w:vAlign w:val="center"/>
          </w:tcPr>
          <w:p w14:paraId="52DBCCA8" w14:textId="77777777" w:rsidR="24459A67" w:rsidRDefault="24459A67" w:rsidP="24459A67">
            <w:pPr>
              <w:ind w:left="0" w:hanging="2"/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</w:pPr>
            <w:r w:rsidRPr="24459A67">
              <w:rPr>
                <w:rFonts w:ascii="Century Gothic" w:eastAsia="Arial Narrow" w:hAnsi="Century Gothic" w:cs="Arial Narrow"/>
                <w:b/>
                <w:bCs/>
                <w:color w:val="002060"/>
                <w:sz w:val="22"/>
                <w:szCs w:val="22"/>
              </w:rPr>
              <w:t xml:space="preserve">Product Program </w:t>
            </w:r>
          </w:p>
        </w:tc>
        <w:tc>
          <w:tcPr>
            <w:tcW w:w="7655" w:type="dxa"/>
            <w:shd w:val="clear" w:color="auto" w:fill="FFFFFF" w:themeFill="background1"/>
          </w:tcPr>
          <w:p w14:paraId="248A7CC4" w14:textId="67423E9E" w:rsidR="24459A67" w:rsidRDefault="007D69F8" w:rsidP="00321AF1">
            <w:pPr>
              <w:ind w:leftChars="0" w:left="0" w:firstLineChars="0" w:firstLine="0"/>
              <w:jc w:val="both"/>
            </w:pPr>
            <w:hyperlink r:id="rId13" w:history="1">
              <w:r w:rsidRPr="007D69F8">
                <w:rPr>
                  <w:rStyle w:val="Lienhypertexte"/>
                </w:rPr>
                <w:t xml:space="preserve">Product Program - </w:t>
              </w:r>
              <w:proofErr w:type="spellStart"/>
              <w:r w:rsidRPr="007D69F8">
                <w:rPr>
                  <w:rStyle w:val="Lienhypertexte"/>
                </w:rPr>
                <w:t>Easy</w:t>
              </w:r>
              <w:proofErr w:type="spellEnd"/>
              <w:r w:rsidRPr="007D69F8">
                <w:rPr>
                  <w:rStyle w:val="Lienhypertexte"/>
                </w:rPr>
                <w:t xml:space="preserve"> Fly_satguru.xlsx</w:t>
              </w:r>
            </w:hyperlink>
          </w:p>
        </w:tc>
      </w:tr>
    </w:tbl>
    <w:p w14:paraId="2A99686D" w14:textId="77777777" w:rsidR="00B20EDE" w:rsidRDefault="00B20ED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5A47F57D" w14:textId="77777777" w:rsidR="00B20EDE" w:rsidRDefault="00B20ED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15A198BA" w14:textId="77777777" w:rsidR="00B20EDE" w:rsidRDefault="00B20ED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736CC2A7" w14:textId="77777777" w:rsidR="00B20EDE" w:rsidRDefault="00B20ED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2E746B84" w14:textId="77777777" w:rsidR="0095605E" w:rsidRDefault="0095605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434D81B1" w14:textId="77777777" w:rsidR="0095605E" w:rsidRDefault="0095605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0F753BDF" w14:textId="77777777" w:rsidR="0095605E" w:rsidRDefault="0095605E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1F8681F3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06341A01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17D639DC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107667D2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29798DED" w14:textId="77777777" w:rsidR="009832DB" w:rsidRDefault="009832DB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37467E23" w14:textId="77777777" w:rsidR="002229CD" w:rsidRDefault="002229CD" w:rsidP="00E76C42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b/>
          <w:bCs/>
          <w:color w:val="002060"/>
          <w:position w:val="0"/>
          <w:sz w:val="10"/>
          <w:szCs w:val="10"/>
          <w:lang w:eastAsia="en-US"/>
        </w:rPr>
      </w:pPr>
    </w:p>
    <w:p w14:paraId="02F37C75" w14:textId="77777777" w:rsidR="008C53F0" w:rsidRDefault="006E0AA3" w:rsidP="00F05165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Arial Narrow" w:hAnsi="Century Gothic" w:cs="Arial Narrow"/>
          <w:color w:val="002060"/>
        </w:rPr>
      </w:pPr>
      <w:r w:rsidRPr="0099172D">
        <w:rPr>
          <w:rFonts w:ascii="Century Gothic" w:eastAsia="Arial Narrow" w:hAnsi="Century Gothic" w:cs="Arial Narrow"/>
          <w:color w:val="002060"/>
        </w:rPr>
        <w:t xml:space="preserve"> </w:t>
      </w:r>
      <w:r w:rsidR="0095605E">
        <w:rPr>
          <w:rFonts w:ascii="Century Gothic" w:eastAsia="Arial Narrow" w:hAnsi="Century Gothic" w:cs="Arial Narrow"/>
          <w:color w:val="002060"/>
        </w:rPr>
        <w:t xml:space="preserve"> </w:t>
      </w:r>
    </w:p>
    <w:p w14:paraId="0A603196" w14:textId="77777777" w:rsidR="008C53F0" w:rsidRDefault="008C53F0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entury Gothic" w:eastAsia="Arial Narrow" w:hAnsi="Century Gothic" w:cs="Arial Narrow"/>
          <w:color w:val="002060"/>
        </w:rPr>
      </w:pPr>
      <w:r>
        <w:rPr>
          <w:rFonts w:ascii="Century Gothic" w:eastAsia="Arial Narrow" w:hAnsi="Century Gothic" w:cs="Arial Narrow"/>
          <w:color w:val="002060"/>
        </w:rPr>
        <w:br w:type="page"/>
      </w:r>
    </w:p>
    <w:p w14:paraId="2661D1AB" w14:textId="51FA4CC6" w:rsidR="00065071" w:rsidRPr="0099172D" w:rsidRDefault="001911BD" w:rsidP="00F05165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Arial Narrow" w:hAnsi="Century Gothic" w:cs="Arial Narrow"/>
          <w:color w:val="002060"/>
          <w:u w:val="single"/>
          <w:vertAlign w:val="superscript"/>
        </w:rPr>
      </w:pPr>
      <w:r w:rsidRPr="0099172D">
        <w:rPr>
          <w:rFonts w:ascii="Century Gothic" w:eastAsia="Calibri" w:hAnsi="Century Gothic"/>
          <w:b/>
          <w:bCs/>
          <w:color w:val="002060"/>
          <w:position w:val="0"/>
          <w:sz w:val="30"/>
          <w:szCs w:val="30"/>
          <w:lang w:eastAsia="en-US"/>
        </w:rPr>
        <w:lastRenderedPageBreak/>
        <w:t xml:space="preserve">DÉCISION DU COMITÉ </w:t>
      </w:r>
      <w:r w:rsidR="00A55E77" w:rsidRPr="0099172D">
        <w:rPr>
          <w:rFonts w:ascii="Century Gothic" w:eastAsia="Calibri" w:hAnsi="Century Gothic"/>
          <w:b/>
          <w:bCs/>
          <w:color w:val="002060"/>
          <w:position w:val="0"/>
          <w:sz w:val="30"/>
          <w:szCs w:val="30"/>
          <w:lang w:eastAsia="en-US"/>
        </w:rPr>
        <w:t>NAP</w:t>
      </w:r>
      <w:r w:rsidR="00A55E77" w:rsidRPr="0099172D">
        <w:rPr>
          <w:rFonts w:ascii="Century Gothic" w:eastAsia="Calibri" w:hAnsi="Century Gothic"/>
          <w:b/>
          <w:bCs/>
          <w:color w:val="002060"/>
          <w:position w:val="0"/>
          <w:sz w:val="22"/>
          <w:szCs w:val="22"/>
          <w:lang w:eastAsia="en-US"/>
        </w:rPr>
        <w:t xml:space="preserve"> (</w:t>
      </w:r>
      <w:r w:rsidR="00AA792A">
        <w:rPr>
          <w:rFonts w:ascii="Century Gothic" w:eastAsia="Calibri" w:hAnsi="Century Gothic"/>
          <w:b/>
          <w:bCs/>
          <w:color w:val="002060"/>
          <w:position w:val="0"/>
          <w:sz w:val="22"/>
          <w:szCs w:val="22"/>
          <w:lang w:eastAsia="en-US"/>
        </w:rPr>
        <w:t>1</w:t>
      </w:r>
      <w:r w:rsidR="00A55E77" w:rsidRPr="0099172D">
        <w:rPr>
          <w:rFonts w:ascii="Century Gothic" w:eastAsia="Calibri" w:hAnsi="Century Gothic"/>
          <w:b/>
          <w:bCs/>
          <w:color w:val="002060"/>
          <w:position w:val="0"/>
          <w:sz w:val="22"/>
          <w:szCs w:val="22"/>
          <w:lang w:eastAsia="en-US"/>
        </w:rPr>
        <w:t>)</w:t>
      </w:r>
    </w:p>
    <w:p w14:paraId="23205C48" w14:textId="77777777" w:rsidR="008C53F0" w:rsidRDefault="008C53F0" w:rsidP="008C53F0">
      <w:pPr>
        <w:ind w:left="0" w:hanging="2"/>
        <w:rPr>
          <w:rFonts w:ascii="Aptos" w:hAnsi="Aptos"/>
          <w:color w:val="000000"/>
          <w:position w:val="0"/>
        </w:rPr>
      </w:pPr>
    </w:p>
    <w:tbl>
      <w:tblPr>
        <w:tblW w:w="0" w:type="dxa"/>
        <w:tblLook w:val="04A0" w:firstRow="1" w:lastRow="0" w:firstColumn="1" w:lastColumn="0" w:noHBand="0" w:noVBand="1"/>
      </w:tblPr>
      <w:tblGrid>
        <w:gridCol w:w="2340"/>
        <w:gridCol w:w="1620"/>
        <w:gridCol w:w="1575"/>
        <w:gridCol w:w="1470"/>
        <w:gridCol w:w="1845"/>
      </w:tblGrid>
      <w:tr w:rsidR="008C53F0" w14:paraId="3F9BD4C3" w14:textId="77777777" w:rsidTr="008C53F0">
        <w:tc>
          <w:tcPr>
            <w:tcW w:w="234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FFFFFF"/>
            </w:tcBorders>
            <w:shd w:val="clear" w:color="auto" w:fill="60AB1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810236" w14:textId="77777777" w:rsidR="008C53F0" w:rsidRDefault="008C53F0">
            <w:pPr>
              <w:pStyle w:val="NormalWeb"/>
              <w:jc w:val="center"/>
              <w:rPr>
                <w:rFonts w:ascii="Calibri" w:eastAsiaTheme="minorHAnsi" w:hAnsi="Calibri"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color w:val="FFFFFF"/>
              </w:rPr>
              <w:t> </w:t>
            </w:r>
          </w:p>
          <w:p w14:paraId="0F3E931C" w14:textId="77777777" w:rsidR="008C53F0" w:rsidRDefault="008C53F0">
            <w:pPr>
              <w:pStyle w:val="NormalWeb"/>
              <w:jc w:val="center"/>
              <w:rPr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FFFFFF"/>
              </w:rPr>
              <w:t>Désignation</w:t>
            </w:r>
            <w:r>
              <w:rPr>
                <w:rFonts w:ascii="Century Gothic" w:hAnsi="Century Gothic"/>
                <w:color w:val="FFFFFF"/>
              </w:rPr>
              <w:t> </w:t>
            </w:r>
          </w:p>
        </w:tc>
        <w:tc>
          <w:tcPr>
            <w:tcW w:w="1620" w:type="dxa"/>
            <w:tcBorders>
              <w:top w:val="single" w:sz="6" w:space="0" w:color="87C23C"/>
              <w:left w:val="single" w:sz="6" w:space="0" w:color="FFFFFF"/>
              <w:bottom w:val="single" w:sz="6" w:space="0" w:color="87C23C"/>
              <w:right w:val="single" w:sz="6" w:space="0" w:color="FFFFFF"/>
            </w:tcBorders>
            <w:shd w:val="clear" w:color="auto" w:fill="60AB1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E4334" w14:textId="77777777" w:rsidR="008C53F0" w:rsidRDefault="008C53F0">
            <w:pPr>
              <w:pStyle w:val="NormalWeb"/>
              <w:jc w:val="center"/>
              <w:rPr>
                <w:color w:val="000000"/>
              </w:rPr>
            </w:pPr>
            <w:r>
              <w:rPr>
                <w:rFonts w:ascii="Century Gothic" w:hAnsi="Century Gothic"/>
                <w:color w:val="FFFFFF"/>
                <w:sz w:val="12"/>
                <w:szCs w:val="12"/>
              </w:rPr>
              <w:t> </w:t>
            </w:r>
          </w:p>
          <w:p w14:paraId="48851E45" w14:textId="77777777" w:rsidR="008C53F0" w:rsidRDefault="008C53F0">
            <w:pPr>
              <w:pStyle w:val="NormalWeb"/>
              <w:jc w:val="center"/>
              <w:rPr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FFFFFF"/>
              </w:rPr>
              <w:t>Accord avec avis</w:t>
            </w:r>
            <w:r>
              <w:rPr>
                <w:rFonts w:ascii="Century Gothic" w:hAnsi="Century Gothic"/>
                <w:color w:val="FFFFFF"/>
              </w:rPr>
              <w:t> </w:t>
            </w:r>
          </w:p>
          <w:p w14:paraId="35E72AFD" w14:textId="77777777" w:rsidR="008C53F0" w:rsidRDefault="008C53F0">
            <w:pPr>
              <w:pStyle w:val="NormalWeb"/>
              <w:jc w:val="center"/>
              <w:rPr>
                <w:color w:val="000000"/>
              </w:rPr>
            </w:pPr>
            <w:r>
              <w:rPr>
                <w:rFonts w:ascii="Century Gothic" w:hAnsi="Century Gothic"/>
                <w:color w:val="FFFFFF"/>
                <w:sz w:val="12"/>
                <w:szCs w:val="12"/>
              </w:rPr>
              <w:t> </w:t>
            </w:r>
          </w:p>
        </w:tc>
        <w:tc>
          <w:tcPr>
            <w:tcW w:w="1575" w:type="dxa"/>
            <w:tcBorders>
              <w:top w:val="single" w:sz="6" w:space="0" w:color="87C23C"/>
              <w:left w:val="single" w:sz="6" w:space="0" w:color="FFFFFF"/>
              <w:bottom w:val="single" w:sz="6" w:space="0" w:color="87C23C"/>
              <w:right w:val="single" w:sz="6" w:space="0" w:color="FFFFFF"/>
            </w:tcBorders>
            <w:shd w:val="clear" w:color="auto" w:fill="60AB1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8F14C" w14:textId="77777777" w:rsidR="008C53F0" w:rsidRDefault="008C53F0">
            <w:pPr>
              <w:pStyle w:val="NormalWeb"/>
              <w:jc w:val="center"/>
              <w:rPr>
                <w:color w:val="000000"/>
              </w:rPr>
            </w:pPr>
            <w:r>
              <w:rPr>
                <w:rFonts w:ascii="Century Gothic" w:hAnsi="Century Gothic"/>
                <w:color w:val="FFFFFF"/>
                <w:sz w:val="12"/>
                <w:szCs w:val="12"/>
              </w:rPr>
              <w:t> </w:t>
            </w:r>
          </w:p>
          <w:p w14:paraId="54FDABBA" w14:textId="77777777" w:rsidR="008C53F0" w:rsidRDefault="008C53F0">
            <w:pPr>
              <w:pStyle w:val="NormalWeb"/>
              <w:jc w:val="center"/>
              <w:rPr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FFFFFF"/>
              </w:rPr>
              <w:t>Accord avec réserve</w:t>
            </w:r>
            <w:r>
              <w:rPr>
                <w:rFonts w:ascii="Century Gothic" w:hAnsi="Century Gothic"/>
                <w:color w:val="FFFFFF"/>
              </w:rPr>
              <w:t> </w:t>
            </w:r>
          </w:p>
        </w:tc>
        <w:tc>
          <w:tcPr>
            <w:tcW w:w="1470" w:type="dxa"/>
            <w:tcBorders>
              <w:top w:val="single" w:sz="6" w:space="0" w:color="87C23C"/>
              <w:left w:val="single" w:sz="6" w:space="0" w:color="FFFFFF"/>
              <w:bottom w:val="single" w:sz="6" w:space="0" w:color="87C23C"/>
              <w:right w:val="single" w:sz="6" w:space="0" w:color="FFFFFF"/>
            </w:tcBorders>
            <w:shd w:val="clear" w:color="auto" w:fill="60AB1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1E47A" w14:textId="77777777" w:rsidR="008C53F0" w:rsidRDefault="008C53F0">
            <w:pPr>
              <w:pStyle w:val="NormalWeb"/>
              <w:jc w:val="center"/>
              <w:rPr>
                <w:color w:val="000000"/>
              </w:rPr>
            </w:pPr>
            <w:r>
              <w:rPr>
                <w:rFonts w:ascii="Century Gothic" w:hAnsi="Century Gothic"/>
                <w:color w:val="FFFFFF"/>
              </w:rPr>
              <w:t> </w:t>
            </w:r>
          </w:p>
          <w:p w14:paraId="1D96DF62" w14:textId="77777777" w:rsidR="008C53F0" w:rsidRDefault="008C53F0">
            <w:pPr>
              <w:pStyle w:val="NormalWeb"/>
              <w:jc w:val="center"/>
              <w:rPr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FFFFFF"/>
              </w:rPr>
              <w:t>Refus</w:t>
            </w:r>
            <w:r>
              <w:rPr>
                <w:rFonts w:ascii="Century Gothic" w:hAnsi="Century Gothic"/>
                <w:color w:val="FFFFFF"/>
              </w:rPr>
              <w:t> </w:t>
            </w:r>
          </w:p>
        </w:tc>
        <w:tc>
          <w:tcPr>
            <w:tcW w:w="1845" w:type="dxa"/>
            <w:tcBorders>
              <w:top w:val="single" w:sz="6" w:space="0" w:color="87C23C"/>
              <w:left w:val="single" w:sz="6" w:space="0" w:color="FFFFFF"/>
              <w:bottom w:val="single" w:sz="6" w:space="0" w:color="87C23C"/>
              <w:right w:val="single" w:sz="6" w:space="0" w:color="87C23C"/>
            </w:tcBorders>
            <w:shd w:val="clear" w:color="auto" w:fill="60AB1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047BE2" w14:textId="77777777" w:rsidR="008C53F0" w:rsidRDefault="008C53F0">
            <w:pPr>
              <w:pStyle w:val="NormalWeb"/>
              <w:jc w:val="center"/>
              <w:rPr>
                <w:color w:val="000000"/>
              </w:rPr>
            </w:pPr>
            <w:r>
              <w:rPr>
                <w:rFonts w:ascii="Century Gothic" w:hAnsi="Century Gothic"/>
                <w:color w:val="FFFFFF"/>
              </w:rPr>
              <w:t> </w:t>
            </w:r>
          </w:p>
          <w:p w14:paraId="0711594F" w14:textId="77777777" w:rsidR="008C53F0" w:rsidRDefault="008C53F0">
            <w:pPr>
              <w:pStyle w:val="NormalWeb"/>
              <w:jc w:val="center"/>
              <w:rPr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FFFFFF"/>
              </w:rPr>
              <w:t>Commentaire (2)</w:t>
            </w:r>
            <w:r>
              <w:rPr>
                <w:rFonts w:ascii="Century Gothic" w:hAnsi="Century Gothic"/>
                <w:color w:val="FFFFFF"/>
              </w:rPr>
              <w:t> </w:t>
            </w:r>
          </w:p>
        </w:tc>
      </w:tr>
      <w:tr w:rsidR="008C53F0" w14:paraId="35957AC9" w14:textId="77777777" w:rsidTr="008C53F0">
        <w:tc>
          <w:tcPr>
            <w:tcW w:w="234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E04FF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2060"/>
                <w:sz w:val="18"/>
                <w:szCs w:val="18"/>
              </w:rPr>
              <w:t>Directeur Digital Banking &amp; Partnerships (DBDP)</w:t>
            </w: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  <w:p w14:paraId="5E528167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2"/>
                <w:szCs w:val="12"/>
              </w:rPr>
              <w:t> </w:t>
            </w:r>
          </w:p>
        </w:tc>
        <w:tc>
          <w:tcPr>
            <w:tcW w:w="162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3B334C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575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2BAD25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E49AC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845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7D0E2D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</w:tr>
      <w:tr w:rsidR="008C53F0" w14:paraId="114CDEF0" w14:textId="77777777" w:rsidTr="008C53F0">
        <w:tc>
          <w:tcPr>
            <w:tcW w:w="234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451D4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2"/>
                <w:szCs w:val="12"/>
              </w:rPr>
              <w:t> </w:t>
            </w:r>
          </w:p>
          <w:p w14:paraId="4F140B08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2060"/>
                <w:sz w:val="18"/>
                <w:szCs w:val="18"/>
              </w:rPr>
              <w:t>Directeur d’Exploitation et du Développement (DEX) / Directeur Central (DC)</w:t>
            </w: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  <w:p w14:paraId="4EF803A7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2"/>
                <w:szCs w:val="12"/>
              </w:rPr>
              <w:t> </w:t>
            </w:r>
          </w:p>
        </w:tc>
        <w:tc>
          <w:tcPr>
            <w:tcW w:w="162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0FE07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575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E1CA5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DD86E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845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4E2C7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</w:tr>
      <w:tr w:rsidR="008C53F0" w14:paraId="06A581BF" w14:textId="77777777" w:rsidTr="008C53F0">
        <w:tc>
          <w:tcPr>
            <w:tcW w:w="234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14D37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2"/>
                <w:szCs w:val="12"/>
              </w:rPr>
              <w:t> </w:t>
            </w:r>
          </w:p>
          <w:p w14:paraId="2BCC2161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2060"/>
                <w:sz w:val="18"/>
                <w:szCs w:val="18"/>
              </w:rPr>
              <w:t>Directeur Marketing et Communication (DMC)</w:t>
            </w: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95D61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575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03598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4DC84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845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CC74B0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</w:tr>
      <w:tr w:rsidR="008C53F0" w14:paraId="5B9BECDC" w14:textId="77777777" w:rsidTr="008C53F0">
        <w:tc>
          <w:tcPr>
            <w:tcW w:w="234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F2EE4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2060"/>
                <w:sz w:val="18"/>
                <w:szCs w:val="18"/>
              </w:rPr>
              <w:t>Directeur des Opérations et de la technologie (DOT)</w:t>
            </w: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  <w:p w14:paraId="4266A4A3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2"/>
                <w:szCs w:val="12"/>
              </w:rPr>
              <w:t> </w:t>
            </w:r>
          </w:p>
        </w:tc>
        <w:tc>
          <w:tcPr>
            <w:tcW w:w="162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6E9D0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575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04C048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515D66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845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90AB1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</w:tr>
      <w:tr w:rsidR="008C53F0" w14:paraId="406B8E7B" w14:textId="77777777" w:rsidTr="008C53F0">
        <w:tc>
          <w:tcPr>
            <w:tcW w:w="234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A957B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2"/>
                <w:szCs w:val="12"/>
              </w:rPr>
              <w:t> </w:t>
            </w:r>
          </w:p>
          <w:p w14:paraId="67A55630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2060"/>
                <w:sz w:val="18"/>
                <w:szCs w:val="18"/>
              </w:rPr>
              <w:t>Directeur Administratif et Financier (DAF)</w:t>
            </w: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E86CB8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575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9F9D4C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226E8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845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B51E6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  <w:p w14:paraId="1301A033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</w:tr>
      <w:tr w:rsidR="008C53F0" w14:paraId="4B7EA34F" w14:textId="77777777" w:rsidTr="008C53F0">
        <w:tc>
          <w:tcPr>
            <w:tcW w:w="234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45E93C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2060"/>
                <w:sz w:val="18"/>
                <w:szCs w:val="18"/>
              </w:rPr>
              <w:t> </w:t>
            </w: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  <w:p w14:paraId="0A1199DD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2060"/>
                <w:sz w:val="18"/>
                <w:szCs w:val="18"/>
              </w:rPr>
              <w:t>Directeur Risque Contrôle Permanent &amp; Conformité (DRCPC)</w:t>
            </w: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  <w:p w14:paraId="60485886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2"/>
                <w:szCs w:val="12"/>
              </w:rPr>
              <w:t> </w:t>
            </w:r>
          </w:p>
        </w:tc>
        <w:tc>
          <w:tcPr>
            <w:tcW w:w="162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78F115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575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C59BC2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50EE2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845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48D0C9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</w:tr>
      <w:tr w:rsidR="008C53F0" w14:paraId="45770D83" w14:textId="77777777" w:rsidTr="008C53F0">
        <w:tc>
          <w:tcPr>
            <w:tcW w:w="234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4BE3F1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2"/>
                <w:szCs w:val="12"/>
              </w:rPr>
              <w:t> </w:t>
            </w:r>
          </w:p>
          <w:p w14:paraId="7E747102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2060"/>
                <w:sz w:val="18"/>
                <w:szCs w:val="18"/>
              </w:rPr>
              <w:t>Directeur du Système d’information (DSI)</w:t>
            </w: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05F79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575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B87A2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8F5A85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845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908624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</w:tr>
      <w:tr w:rsidR="008C53F0" w14:paraId="46BB8F5F" w14:textId="77777777" w:rsidTr="008C53F0">
        <w:tc>
          <w:tcPr>
            <w:tcW w:w="234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E2CCA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  <w:p w14:paraId="6918FED2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2060"/>
                <w:sz w:val="18"/>
                <w:szCs w:val="18"/>
              </w:rPr>
              <w:t>Directeur Général (DG/DGA)</w:t>
            </w: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F4BC64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575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C5413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2073D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  <w:tc>
          <w:tcPr>
            <w:tcW w:w="1845" w:type="dxa"/>
            <w:tcBorders>
              <w:top w:val="single" w:sz="6" w:space="0" w:color="87C23C"/>
              <w:left w:val="single" w:sz="6" w:space="0" w:color="87C23C"/>
              <w:bottom w:val="single" w:sz="6" w:space="0" w:color="87C23C"/>
              <w:right w:val="single" w:sz="6" w:space="0" w:color="87C23C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C7AB0" w14:textId="77777777" w:rsidR="008C53F0" w:rsidRDefault="008C53F0">
            <w:pPr>
              <w:pStyle w:val="NormalWeb"/>
              <w:rPr>
                <w:color w:val="000000"/>
              </w:rPr>
            </w:pPr>
            <w:r>
              <w:rPr>
                <w:rFonts w:ascii="Century Gothic" w:hAnsi="Century Gothic"/>
                <w:color w:val="002060"/>
                <w:sz w:val="18"/>
                <w:szCs w:val="18"/>
              </w:rPr>
              <w:t> </w:t>
            </w:r>
          </w:p>
        </w:tc>
      </w:tr>
    </w:tbl>
    <w:p w14:paraId="1B740578" w14:textId="77777777" w:rsidR="005D1911" w:rsidRPr="0099172D" w:rsidRDefault="005D1911" w:rsidP="00AA07A3">
      <w:pPr>
        <w:suppressAutoHyphens w:val="0"/>
        <w:spacing w:after="200" w:line="276" w:lineRule="auto"/>
        <w:ind w:leftChars="0" w:left="0" w:firstLineChars="0" w:firstLine="0"/>
        <w:textAlignment w:val="auto"/>
        <w:outlineLvl w:val="9"/>
        <w:rPr>
          <w:rFonts w:ascii="Century Gothic" w:eastAsia="Calibri" w:hAnsi="Century Gothic"/>
          <w:color w:val="002060"/>
          <w:position w:val="0"/>
          <w:lang w:eastAsia="en-US"/>
        </w:rPr>
      </w:pPr>
    </w:p>
    <w:p w14:paraId="4D027D00" w14:textId="77777777" w:rsidR="00A55E77" w:rsidRPr="0099172D" w:rsidRDefault="00C14671" w:rsidP="00A54AD1">
      <w:pPr>
        <w:pStyle w:val="Paragraphedeliste"/>
        <w:numPr>
          <w:ilvl w:val="0"/>
          <w:numId w:val="6"/>
        </w:numPr>
        <w:suppressAutoHyphens w:val="0"/>
        <w:spacing w:after="200" w:line="276" w:lineRule="auto"/>
        <w:ind w:leftChars="0" w:left="-490" w:firstLineChars="0"/>
        <w:jc w:val="both"/>
        <w:textAlignment w:val="auto"/>
        <w:outlineLvl w:val="9"/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</w:pPr>
      <w:r w:rsidRPr="0099172D"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  <w:t xml:space="preserve">: </w:t>
      </w:r>
      <w:r w:rsidR="00A55E77" w:rsidRPr="0099172D"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  <w:t>Visa et date à apposer dans la colonne correspondant à l’avis donné</w:t>
      </w:r>
    </w:p>
    <w:p w14:paraId="73824083" w14:textId="77777777" w:rsidR="00C14671" w:rsidRPr="0099172D" w:rsidRDefault="00C14671" w:rsidP="00A54AD1">
      <w:pPr>
        <w:pStyle w:val="Paragraphedeliste"/>
        <w:suppressAutoHyphens w:val="0"/>
        <w:spacing w:after="200" w:line="276" w:lineRule="auto"/>
        <w:ind w:leftChars="0" w:left="-490" w:firstLineChars="0" w:firstLine="0"/>
        <w:jc w:val="both"/>
        <w:textAlignment w:val="auto"/>
        <w:outlineLvl w:val="9"/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</w:pPr>
    </w:p>
    <w:p w14:paraId="66F1E7C9" w14:textId="77777777" w:rsidR="00A55E77" w:rsidRPr="0099172D" w:rsidRDefault="00A55E77" w:rsidP="00A54AD1">
      <w:pPr>
        <w:pStyle w:val="Paragraphedeliste"/>
        <w:numPr>
          <w:ilvl w:val="0"/>
          <w:numId w:val="6"/>
        </w:numPr>
        <w:suppressAutoHyphens w:val="0"/>
        <w:spacing w:after="200" w:line="276" w:lineRule="auto"/>
        <w:ind w:leftChars="0" w:left="-490" w:firstLineChars="0"/>
        <w:jc w:val="both"/>
        <w:textAlignment w:val="auto"/>
        <w:outlineLvl w:val="9"/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</w:pPr>
      <w:r w:rsidRPr="0099172D">
        <w:rPr>
          <w:rFonts w:ascii="Century Gothic" w:eastAsia="Calibri" w:hAnsi="Century Gothic"/>
          <w:color w:val="002060"/>
          <w:position w:val="0"/>
          <w:sz w:val="22"/>
          <w:szCs w:val="22"/>
          <w:lang w:eastAsia="en-US"/>
        </w:rPr>
        <w:t>: Joindre une note complémentaire le cas échéant</w:t>
      </w:r>
    </w:p>
    <w:p w14:paraId="6955F025" w14:textId="77777777" w:rsidR="00712B2C" w:rsidRPr="0099172D" w:rsidRDefault="00712B2C" w:rsidP="00395EF3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color w:val="002060"/>
          <w:position w:val="0"/>
          <w:lang w:eastAsia="en-US"/>
        </w:rPr>
      </w:pPr>
    </w:p>
    <w:p w14:paraId="20EAAB63" w14:textId="77777777" w:rsidR="00712B2C" w:rsidRPr="0099172D" w:rsidRDefault="00712B2C" w:rsidP="00395EF3">
      <w:pPr>
        <w:suppressAutoHyphens w:val="0"/>
        <w:spacing w:after="200" w:line="276" w:lineRule="auto"/>
        <w:ind w:leftChars="0" w:left="-1018" w:firstLineChars="0" w:hanging="2"/>
        <w:textAlignment w:val="auto"/>
        <w:outlineLvl w:val="9"/>
        <w:rPr>
          <w:rFonts w:ascii="Century Gothic" w:eastAsia="Calibri" w:hAnsi="Century Gothic"/>
          <w:color w:val="002060"/>
          <w:position w:val="0"/>
          <w:lang w:eastAsia="en-US"/>
        </w:rPr>
      </w:pPr>
      <w:r w:rsidRPr="0099172D">
        <w:rPr>
          <w:rFonts w:ascii="Century Gothic" w:eastAsia="Calibri" w:hAnsi="Century Gothic"/>
          <w:color w:val="002060"/>
          <w:position w:val="0"/>
          <w:lang w:eastAsia="en-US"/>
        </w:rPr>
        <w:tab/>
      </w:r>
      <w:r w:rsidRPr="0099172D">
        <w:rPr>
          <w:rFonts w:ascii="Century Gothic" w:eastAsia="Calibri" w:hAnsi="Century Gothic"/>
          <w:color w:val="002060"/>
          <w:position w:val="0"/>
          <w:lang w:eastAsia="en-US"/>
        </w:rPr>
        <w:tab/>
      </w:r>
    </w:p>
    <w:sectPr w:rsidR="00712B2C" w:rsidRPr="0099172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1418" w:bottom="1418" w:left="1559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35ADA" w14:textId="77777777" w:rsidR="00A11A1C" w:rsidRDefault="00A11A1C" w:rsidP="006E0AA3">
      <w:pPr>
        <w:spacing w:line="240" w:lineRule="auto"/>
        <w:ind w:left="0" w:hanging="2"/>
      </w:pPr>
      <w:r>
        <w:separator/>
      </w:r>
    </w:p>
  </w:endnote>
  <w:endnote w:type="continuationSeparator" w:id="0">
    <w:p w14:paraId="66C44840" w14:textId="77777777" w:rsidR="00A11A1C" w:rsidRDefault="00A11A1C" w:rsidP="006E0AA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9AD11" w14:textId="77777777" w:rsidR="00AA07A3" w:rsidRDefault="00AA07A3">
    <w:pPr>
      <w:pStyle w:val="Pieddepage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CBD1D" w14:textId="5EA7D85A" w:rsidR="00AA07A3" w:rsidRPr="00CE79D5" w:rsidRDefault="00880C91" w:rsidP="00712B2C">
    <w:pPr>
      <w:tabs>
        <w:tab w:val="center" w:pos="4550"/>
        <w:tab w:val="left" w:pos="5818"/>
      </w:tabs>
      <w:ind w:leftChars="0" w:left="-850" w:right="-850" w:firstLineChars="0" w:firstLine="0"/>
      <w:jc w:val="right"/>
      <w:rPr>
        <w:rFonts w:ascii="Century Gothic" w:hAnsi="Century Gothic"/>
        <w:color w:val="2F550C" w:themeColor="text2" w:themeShade="80"/>
        <w:sz w:val="22"/>
        <w:szCs w:val="22"/>
      </w:rPr>
    </w:pPr>
    <w:r>
      <w:rPr>
        <w:noProof/>
      </w:rPr>
      <w:pict w14:anchorId="2FED5201">
        <v:rect id="Rectangle 2" o:spid="_x0000_s1025" style="position:absolute;left:0;text-align:left;margin-left:63.05pt;margin-top:.8pt;width:309.7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" filled="f" stroked="f">
          <v:shadow on="t" color="black" opacity="22937f" origin=",.5" offset="0,.63889mm"/>
          <v:textbox>
            <w:txbxContent>
              <w:p w14:paraId="51BFBE42" w14:textId="77777777" w:rsidR="00A55E77" w:rsidRPr="008777C2" w:rsidRDefault="00A55E77" w:rsidP="00A55E77">
                <w:pPr>
                  <w:ind w:left="0" w:hanging="2"/>
                  <w:jc w:val="center"/>
                  <w:rPr>
                    <w:rFonts w:ascii="Century Gothic" w:hAnsi="Century Gothic"/>
                    <w:b/>
                    <w:bCs/>
                    <w:color w:val="002060"/>
                  </w:rPr>
                </w:pPr>
                <w:r w:rsidRPr="008777C2">
                  <w:rPr>
                    <w:rFonts w:ascii="Century Gothic" w:hAnsi="Century Gothic"/>
                    <w:b/>
                    <w:bCs/>
                    <w:color w:val="002060"/>
                  </w:rPr>
                  <w:t>Fiche produit et service</w:t>
                </w:r>
              </w:p>
              <w:p w14:paraId="43F2BCEC" w14:textId="77777777" w:rsidR="00712B2C" w:rsidRPr="008777C2" w:rsidRDefault="00712B2C" w:rsidP="00A55E77">
                <w:pPr>
                  <w:jc w:val="center"/>
                  <w:rPr>
                    <w:rFonts w:ascii="Century Gothic" w:hAnsi="Century Gothic"/>
                    <w:b/>
                    <w:bCs/>
                    <w:color w:val="002060"/>
                    <w:sz w:val="6"/>
                    <w:szCs w:val="6"/>
                  </w:rPr>
                </w:pPr>
              </w:p>
              <w:p w14:paraId="5246867F" w14:textId="77777777" w:rsidR="00322774" w:rsidRPr="008777C2" w:rsidRDefault="00A83BF1" w:rsidP="00A83BF1">
                <w:pPr>
                  <w:ind w:left="0" w:hanging="2"/>
                  <w:jc w:val="center"/>
                  <w:rPr>
                    <w:rFonts w:ascii="Century Gothic" w:hAnsi="Century Gothic"/>
                    <w:b/>
                    <w:bCs/>
                    <w:color w:val="002060"/>
                    <w:sz w:val="20"/>
                    <w:szCs w:val="20"/>
                  </w:rPr>
                </w:pPr>
                <w:proofErr w:type="spellStart"/>
                <w:r w:rsidRPr="00A83BF1">
                  <w:rPr>
                    <w:rFonts w:ascii="Century Gothic" w:hAnsi="Century Gothic"/>
                    <w:b/>
                    <w:bCs/>
                    <w:color w:val="002060"/>
                    <w:sz w:val="20"/>
                    <w:szCs w:val="20"/>
                  </w:rPr>
                  <w:t>Bamboo</w:t>
                </w:r>
                <w:proofErr w:type="spellEnd"/>
                <w:r w:rsidRPr="00A83BF1">
                  <w:rPr>
                    <w:rFonts w:ascii="Century Gothic" w:hAnsi="Century Gothic"/>
                    <w:b/>
                    <w:bCs/>
                    <w:color w:val="002060"/>
                    <w:sz w:val="20"/>
                    <w:szCs w:val="20"/>
                  </w:rPr>
                  <w:t xml:space="preserve"> Conso partenaire</w:t>
                </w:r>
              </w:p>
            </w:txbxContent>
          </v:textbox>
        </v:rect>
      </w:pict>
    </w:r>
    <w:r w:rsidR="00AA07A3" w:rsidRPr="00CE79D5">
      <w:rPr>
        <w:rFonts w:ascii="Century Gothic" w:hAnsi="Century Gothic"/>
        <w:color w:val="9EE759" w:themeColor="text2" w:themeTint="99"/>
        <w:spacing w:val="60"/>
        <w:sz w:val="22"/>
        <w:szCs w:val="22"/>
      </w:rPr>
      <w:t>Page</w:t>
    </w:r>
    <w:r w:rsidR="00AA07A3" w:rsidRPr="00CE79D5">
      <w:rPr>
        <w:rFonts w:ascii="Century Gothic" w:hAnsi="Century Gothic"/>
        <w:color w:val="9EE759" w:themeColor="text2" w:themeTint="99"/>
        <w:sz w:val="22"/>
        <w:szCs w:val="22"/>
      </w:rPr>
      <w:t xml:space="preserve"> </w: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begin"/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instrText>PAGE   \* MERGEFORMAT</w:instrTex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separate"/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t>1</w: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end"/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t xml:space="preserve"> | </w: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begin"/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instrText>NUMPAGES  \* Arabic  \* MERGEFORMAT</w:instrTex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separate"/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t>1</w:t>
    </w:r>
    <w:r w:rsidR="00AA07A3" w:rsidRPr="00CE79D5">
      <w:rPr>
        <w:rFonts w:ascii="Century Gothic" w:hAnsi="Century Gothic"/>
        <w:color w:val="478012" w:themeColor="text2" w:themeShade="BF"/>
        <w:sz w:val="22"/>
        <w:szCs w:val="22"/>
      </w:rPr>
      <w:fldChar w:fldCharType="end"/>
    </w:r>
  </w:p>
  <w:p w14:paraId="098FBF94" w14:textId="77777777" w:rsidR="00065071" w:rsidRDefault="00065071" w:rsidP="006E0AA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center"/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1EA2D" w14:textId="77777777" w:rsidR="00AA07A3" w:rsidRDefault="00AA07A3">
    <w:pPr>
      <w:pStyle w:val="Pieddepage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40382" w14:textId="77777777" w:rsidR="00A11A1C" w:rsidRDefault="00A11A1C" w:rsidP="006E0AA3">
      <w:pPr>
        <w:spacing w:line="240" w:lineRule="auto"/>
        <w:ind w:left="0" w:hanging="2"/>
      </w:pPr>
      <w:r>
        <w:separator/>
      </w:r>
    </w:p>
  </w:footnote>
  <w:footnote w:type="continuationSeparator" w:id="0">
    <w:p w14:paraId="202B0F10" w14:textId="77777777" w:rsidR="00A11A1C" w:rsidRDefault="00A11A1C" w:rsidP="006E0AA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E33A8" w14:textId="77777777" w:rsidR="00AA07A3" w:rsidRDefault="00AA07A3">
    <w:pPr>
      <w:pStyle w:val="En-tt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895EC" w14:textId="77777777" w:rsidR="00065071" w:rsidRDefault="001911BD" w:rsidP="006E0AA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7216" behindDoc="0" locked="0" layoutInCell="1" hidden="0" allowOverlap="1" wp14:anchorId="4FB831F5" wp14:editId="6861748B">
          <wp:simplePos x="0" y="0"/>
          <wp:positionH relativeFrom="leftMargin">
            <wp:posOffset>208280</wp:posOffset>
          </wp:positionH>
          <wp:positionV relativeFrom="topMargin">
            <wp:posOffset>-65419</wp:posOffset>
          </wp:positionV>
          <wp:extent cx="1518285" cy="77914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5228" t="20860" r="5882" b="18301"/>
                  <a:stretch>
                    <a:fillRect/>
                  </a:stretch>
                </pic:blipFill>
                <pic:spPr>
                  <a:xfrm>
                    <a:off x="0" y="0"/>
                    <a:ext cx="1518285" cy="779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235D0" w14:textId="77777777" w:rsidR="00AA07A3" w:rsidRDefault="00AA07A3">
    <w:pPr>
      <w:pStyle w:val="En-tte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F6035"/>
    <w:multiLevelType w:val="multilevel"/>
    <w:tmpl w:val="47EC92D6"/>
    <w:lvl w:ilvl="0">
      <w:start w:val="1"/>
      <w:numFmt w:val="bullet"/>
      <w:lvlText w:val="⦿"/>
      <w:lvlJc w:val="left"/>
      <w:pPr>
        <w:ind w:left="360" w:hanging="360"/>
      </w:pPr>
      <w:rPr>
        <w:rFonts w:ascii="Cambria Math" w:eastAsia="Cambria Math" w:hAnsi="Cambria Math" w:cs="Cambria Math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5D64"/>
    <w:multiLevelType w:val="hybridMultilevel"/>
    <w:tmpl w:val="FA32F326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1F2280"/>
    <w:multiLevelType w:val="multilevel"/>
    <w:tmpl w:val="6D74882E"/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5E3677A"/>
    <w:multiLevelType w:val="hybridMultilevel"/>
    <w:tmpl w:val="FCE81604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0C068D"/>
    <w:multiLevelType w:val="multilevel"/>
    <w:tmpl w:val="053E632C"/>
    <w:lvl w:ilvl="0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28AEC1"/>
    <w:multiLevelType w:val="hybridMultilevel"/>
    <w:tmpl w:val="9690BDC6"/>
    <w:lvl w:ilvl="0" w:tplc="F56E04F8">
      <w:start w:val="1"/>
      <w:numFmt w:val="lowerLetter"/>
      <w:lvlText w:val="%1."/>
      <w:lvlJc w:val="left"/>
      <w:pPr>
        <w:ind w:left="720" w:hanging="360"/>
      </w:pPr>
    </w:lvl>
    <w:lvl w:ilvl="1" w:tplc="12BABC2C">
      <w:start w:val="1"/>
      <w:numFmt w:val="lowerLetter"/>
      <w:lvlText w:val="%2."/>
      <w:lvlJc w:val="left"/>
      <w:pPr>
        <w:ind w:left="1440" w:hanging="360"/>
      </w:pPr>
    </w:lvl>
    <w:lvl w:ilvl="2" w:tplc="6EDEBCA8">
      <w:start w:val="1"/>
      <w:numFmt w:val="lowerRoman"/>
      <w:lvlText w:val="%3."/>
      <w:lvlJc w:val="right"/>
      <w:pPr>
        <w:ind w:left="2160" w:hanging="180"/>
      </w:pPr>
    </w:lvl>
    <w:lvl w:ilvl="3" w:tplc="1C0AFFD6">
      <w:start w:val="1"/>
      <w:numFmt w:val="decimal"/>
      <w:lvlText w:val="%4."/>
      <w:lvlJc w:val="left"/>
      <w:pPr>
        <w:ind w:left="2880" w:hanging="360"/>
      </w:pPr>
    </w:lvl>
    <w:lvl w:ilvl="4" w:tplc="45D2106C">
      <w:start w:val="1"/>
      <w:numFmt w:val="lowerLetter"/>
      <w:lvlText w:val="%5."/>
      <w:lvlJc w:val="left"/>
      <w:pPr>
        <w:ind w:left="3600" w:hanging="360"/>
      </w:pPr>
    </w:lvl>
    <w:lvl w:ilvl="5" w:tplc="7E2C0364">
      <w:start w:val="1"/>
      <w:numFmt w:val="lowerRoman"/>
      <w:lvlText w:val="%6."/>
      <w:lvlJc w:val="right"/>
      <w:pPr>
        <w:ind w:left="4320" w:hanging="180"/>
      </w:pPr>
    </w:lvl>
    <w:lvl w:ilvl="6" w:tplc="853CE5B8">
      <w:start w:val="1"/>
      <w:numFmt w:val="decimal"/>
      <w:lvlText w:val="%7."/>
      <w:lvlJc w:val="left"/>
      <w:pPr>
        <w:ind w:left="5040" w:hanging="360"/>
      </w:pPr>
    </w:lvl>
    <w:lvl w:ilvl="7" w:tplc="853A9CA0">
      <w:start w:val="1"/>
      <w:numFmt w:val="lowerLetter"/>
      <w:lvlText w:val="%8."/>
      <w:lvlJc w:val="left"/>
      <w:pPr>
        <w:ind w:left="5760" w:hanging="360"/>
      </w:pPr>
    </w:lvl>
    <w:lvl w:ilvl="8" w:tplc="53D0C7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54126"/>
    <w:multiLevelType w:val="hybridMultilevel"/>
    <w:tmpl w:val="DBFAA60E"/>
    <w:lvl w:ilvl="0" w:tplc="054A6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28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18D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88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AB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08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40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0A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10FD7"/>
    <w:multiLevelType w:val="hybridMultilevel"/>
    <w:tmpl w:val="D714915C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C00A7B"/>
    <w:multiLevelType w:val="hybridMultilevel"/>
    <w:tmpl w:val="532413BC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7A7A48"/>
    <w:multiLevelType w:val="multilevel"/>
    <w:tmpl w:val="D1DEF00A"/>
    <w:lvl w:ilvl="0">
      <w:start w:val="1"/>
      <w:numFmt w:val="bullet"/>
      <w:lvlText w:val="⦿"/>
      <w:lvlJc w:val="left"/>
      <w:pPr>
        <w:ind w:left="360" w:hanging="360"/>
      </w:pPr>
      <w:rPr>
        <w:rFonts w:ascii="Cambria Math" w:eastAsia="Cambria Math" w:hAnsi="Cambria Math" w:cs="Cambria Math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6572C6"/>
    <w:multiLevelType w:val="hybridMultilevel"/>
    <w:tmpl w:val="E2044216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AF1033"/>
    <w:multiLevelType w:val="hybridMultilevel"/>
    <w:tmpl w:val="BCBE7D58"/>
    <w:lvl w:ilvl="0" w:tplc="90B02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BAFD6"/>
    <w:multiLevelType w:val="hybridMultilevel"/>
    <w:tmpl w:val="B0BE1A30"/>
    <w:lvl w:ilvl="0" w:tplc="F6409BA2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432EC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48F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64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05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0D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87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EC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28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77335"/>
    <w:multiLevelType w:val="hybridMultilevel"/>
    <w:tmpl w:val="31E6D204"/>
    <w:lvl w:ilvl="0" w:tplc="040C0009">
      <w:start w:val="1"/>
      <w:numFmt w:val="bullet"/>
      <w:lvlText w:val=""/>
      <w:lvlJc w:val="left"/>
      <w:pPr>
        <w:ind w:left="71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 w15:restartNumberingAfterBreak="0">
    <w:nsid w:val="7792DCB9"/>
    <w:multiLevelType w:val="hybridMultilevel"/>
    <w:tmpl w:val="648CEE16"/>
    <w:lvl w:ilvl="0" w:tplc="64D6BC56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E23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A40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2D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8B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AED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E5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A9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4C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B3649"/>
    <w:multiLevelType w:val="hybridMultilevel"/>
    <w:tmpl w:val="B0F8A418"/>
    <w:lvl w:ilvl="0" w:tplc="705AAADE">
      <w:start w:val="1"/>
      <w:numFmt w:val="bullet"/>
      <w:lvlText w:val="⦿"/>
      <w:lvlJc w:val="left"/>
      <w:pPr>
        <w:ind w:left="360" w:hanging="360"/>
      </w:pPr>
      <w:rPr>
        <w:rFonts w:ascii="Cambria Math" w:hAnsi="Cambria Math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839043">
    <w:abstractNumId w:val="14"/>
  </w:num>
  <w:num w:numId="2" w16cid:durableId="1898776812">
    <w:abstractNumId w:val="12"/>
  </w:num>
  <w:num w:numId="3" w16cid:durableId="134375888">
    <w:abstractNumId w:val="5"/>
  </w:num>
  <w:num w:numId="4" w16cid:durableId="1313750954">
    <w:abstractNumId w:val="6"/>
  </w:num>
  <w:num w:numId="5" w16cid:durableId="1021128372">
    <w:abstractNumId w:val="2"/>
  </w:num>
  <w:num w:numId="6" w16cid:durableId="1566991428">
    <w:abstractNumId w:val="11"/>
  </w:num>
  <w:num w:numId="7" w16cid:durableId="435517658">
    <w:abstractNumId w:val="13"/>
  </w:num>
  <w:num w:numId="8" w16cid:durableId="113603890">
    <w:abstractNumId w:val="7"/>
  </w:num>
  <w:num w:numId="9" w16cid:durableId="1944721345">
    <w:abstractNumId w:val="8"/>
  </w:num>
  <w:num w:numId="10" w16cid:durableId="61562044">
    <w:abstractNumId w:val="15"/>
  </w:num>
  <w:num w:numId="11" w16cid:durableId="1946226915">
    <w:abstractNumId w:val="10"/>
  </w:num>
  <w:num w:numId="12" w16cid:durableId="1098912173">
    <w:abstractNumId w:val="0"/>
  </w:num>
  <w:num w:numId="13" w16cid:durableId="1889800327">
    <w:abstractNumId w:val="3"/>
  </w:num>
  <w:num w:numId="14" w16cid:durableId="1687633790">
    <w:abstractNumId w:val="9"/>
  </w:num>
  <w:num w:numId="15" w16cid:durableId="621300945">
    <w:abstractNumId w:val="4"/>
  </w:num>
  <w:num w:numId="16" w16cid:durableId="188980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5071"/>
    <w:rsid w:val="00007586"/>
    <w:rsid w:val="00024B80"/>
    <w:rsid w:val="00024F7D"/>
    <w:rsid w:val="000304FD"/>
    <w:rsid w:val="00054548"/>
    <w:rsid w:val="00065071"/>
    <w:rsid w:val="00083A21"/>
    <w:rsid w:val="00090ECC"/>
    <w:rsid w:val="000A7E2C"/>
    <w:rsid w:val="000B410F"/>
    <w:rsid w:val="000E7D57"/>
    <w:rsid w:val="000F7355"/>
    <w:rsid w:val="00111656"/>
    <w:rsid w:val="00115360"/>
    <w:rsid w:val="001211B5"/>
    <w:rsid w:val="00122CF1"/>
    <w:rsid w:val="00122E2E"/>
    <w:rsid w:val="00162E88"/>
    <w:rsid w:val="00172131"/>
    <w:rsid w:val="00172996"/>
    <w:rsid w:val="00174D10"/>
    <w:rsid w:val="00187404"/>
    <w:rsid w:val="001911BD"/>
    <w:rsid w:val="001B66B4"/>
    <w:rsid w:val="001D7093"/>
    <w:rsid w:val="002006ED"/>
    <w:rsid w:val="002143F5"/>
    <w:rsid w:val="00220068"/>
    <w:rsid w:val="002229CD"/>
    <w:rsid w:val="002354A6"/>
    <w:rsid w:val="00260730"/>
    <w:rsid w:val="002B6491"/>
    <w:rsid w:val="002C4004"/>
    <w:rsid w:val="002E3358"/>
    <w:rsid w:val="002F263A"/>
    <w:rsid w:val="0030513F"/>
    <w:rsid w:val="00313C0A"/>
    <w:rsid w:val="00321AF1"/>
    <w:rsid w:val="00322774"/>
    <w:rsid w:val="0032647D"/>
    <w:rsid w:val="00335C78"/>
    <w:rsid w:val="00341C66"/>
    <w:rsid w:val="00341D7E"/>
    <w:rsid w:val="0035034B"/>
    <w:rsid w:val="00366911"/>
    <w:rsid w:val="0038122E"/>
    <w:rsid w:val="00382318"/>
    <w:rsid w:val="00385B10"/>
    <w:rsid w:val="00395EF3"/>
    <w:rsid w:val="003C66C6"/>
    <w:rsid w:val="003D50A7"/>
    <w:rsid w:val="003F3DF3"/>
    <w:rsid w:val="00444AE0"/>
    <w:rsid w:val="00447E52"/>
    <w:rsid w:val="00450FCB"/>
    <w:rsid w:val="00472EB8"/>
    <w:rsid w:val="00473AB1"/>
    <w:rsid w:val="00487C26"/>
    <w:rsid w:val="004B34A2"/>
    <w:rsid w:val="004C5884"/>
    <w:rsid w:val="004D43A4"/>
    <w:rsid w:val="004E2742"/>
    <w:rsid w:val="005201E4"/>
    <w:rsid w:val="00523CDF"/>
    <w:rsid w:val="00542306"/>
    <w:rsid w:val="00563CFF"/>
    <w:rsid w:val="00584184"/>
    <w:rsid w:val="0059147D"/>
    <w:rsid w:val="0059663A"/>
    <w:rsid w:val="005A4B0F"/>
    <w:rsid w:val="005B539C"/>
    <w:rsid w:val="005C5195"/>
    <w:rsid w:val="005D1911"/>
    <w:rsid w:val="005D51A3"/>
    <w:rsid w:val="006074CF"/>
    <w:rsid w:val="00613CE4"/>
    <w:rsid w:val="006243B2"/>
    <w:rsid w:val="006462BC"/>
    <w:rsid w:val="0065778B"/>
    <w:rsid w:val="00661CE2"/>
    <w:rsid w:val="00666F62"/>
    <w:rsid w:val="0068452E"/>
    <w:rsid w:val="006915F1"/>
    <w:rsid w:val="006A22C4"/>
    <w:rsid w:val="006B13FE"/>
    <w:rsid w:val="006B7AB7"/>
    <w:rsid w:val="006E0AA3"/>
    <w:rsid w:val="006F327A"/>
    <w:rsid w:val="00702D8A"/>
    <w:rsid w:val="00712B2C"/>
    <w:rsid w:val="00712C14"/>
    <w:rsid w:val="00734298"/>
    <w:rsid w:val="00756F58"/>
    <w:rsid w:val="00760E51"/>
    <w:rsid w:val="0076323C"/>
    <w:rsid w:val="00786027"/>
    <w:rsid w:val="0079165B"/>
    <w:rsid w:val="007B2AF3"/>
    <w:rsid w:val="007C0D94"/>
    <w:rsid w:val="007C3830"/>
    <w:rsid w:val="007D69F8"/>
    <w:rsid w:val="007F0721"/>
    <w:rsid w:val="008059AF"/>
    <w:rsid w:val="00841ABF"/>
    <w:rsid w:val="008748DE"/>
    <w:rsid w:val="008777C2"/>
    <w:rsid w:val="00880C91"/>
    <w:rsid w:val="00885052"/>
    <w:rsid w:val="008909F7"/>
    <w:rsid w:val="00891460"/>
    <w:rsid w:val="008C53F0"/>
    <w:rsid w:val="008F2837"/>
    <w:rsid w:val="009273F9"/>
    <w:rsid w:val="009500C7"/>
    <w:rsid w:val="0095302E"/>
    <w:rsid w:val="0095605E"/>
    <w:rsid w:val="00956A9F"/>
    <w:rsid w:val="0095792D"/>
    <w:rsid w:val="009832DB"/>
    <w:rsid w:val="009834DE"/>
    <w:rsid w:val="0099172D"/>
    <w:rsid w:val="009F5276"/>
    <w:rsid w:val="00A0685A"/>
    <w:rsid w:val="00A11A1C"/>
    <w:rsid w:val="00A235EF"/>
    <w:rsid w:val="00A54AD1"/>
    <w:rsid w:val="00A55E77"/>
    <w:rsid w:val="00A83BF1"/>
    <w:rsid w:val="00AA07A3"/>
    <w:rsid w:val="00AA4600"/>
    <w:rsid w:val="00AA792A"/>
    <w:rsid w:val="00AC1BCF"/>
    <w:rsid w:val="00B1476F"/>
    <w:rsid w:val="00B14888"/>
    <w:rsid w:val="00B20EDE"/>
    <w:rsid w:val="00B937B0"/>
    <w:rsid w:val="00BC3025"/>
    <w:rsid w:val="00BD08B4"/>
    <w:rsid w:val="00C01C4C"/>
    <w:rsid w:val="00C05D3A"/>
    <w:rsid w:val="00C10C2F"/>
    <w:rsid w:val="00C14671"/>
    <w:rsid w:val="00C37384"/>
    <w:rsid w:val="00C61001"/>
    <w:rsid w:val="00CA5517"/>
    <w:rsid w:val="00CB31A8"/>
    <w:rsid w:val="00CC2C35"/>
    <w:rsid w:val="00CD3ACA"/>
    <w:rsid w:val="00CE153B"/>
    <w:rsid w:val="00CE229B"/>
    <w:rsid w:val="00CE79D5"/>
    <w:rsid w:val="00D23CEF"/>
    <w:rsid w:val="00D26DFB"/>
    <w:rsid w:val="00D45391"/>
    <w:rsid w:val="00D63960"/>
    <w:rsid w:val="00D65F01"/>
    <w:rsid w:val="00D842F7"/>
    <w:rsid w:val="00DE02EE"/>
    <w:rsid w:val="00E006B3"/>
    <w:rsid w:val="00E039CA"/>
    <w:rsid w:val="00E11609"/>
    <w:rsid w:val="00E17AE3"/>
    <w:rsid w:val="00E22C9A"/>
    <w:rsid w:val="00E25BD9"/>
    <w:rsid w:val="00E331DC"/>
    <w:rsid w:val="00E3758B"/>
    <w:rsid w:val="00E51120"/>
    <w:rsid w:val="00E76C42"/>
    <w:rsid w:val="00EB3FB6"/>
    <w:rsid w:val="00EC7126"/>
    <w:rsid w:val="00EE601A"/>
    <w:rsid w:val="00F01BD9"/>
    <w:rsid w:val="00F05165"/>
    <w:rsid w:val="00F05842"/>
    <w:rsid w:val="00F45367"/>
    <w:rsid w:val="00F65849"/>
    <w:rsid w:val="00F8071A"/>
    <w:rsid w:val="00F81F68"/>
    <w:rsid w:val="00FA1BE0"/>
    <w:rsid w:val="00FA6A21"/>
    <w:rsid w:val="00FB5577"/>
    <w:rsid w:val="00FF73FB"/>
    <w:rsid w:val="034593F5"/>
    <w:rsid w:val="03B16025"/>
    <w:rsid w:val="05561534"/>
    <w:rsid w:val="06C9CA16"/>
    <w:rsid w:val="07053550"/>
    <w:rsid w:val="07CC913E"/>
    <w:rsid w:val="083060F3"/>
    <w:rsid w:val="08A105B1"/>
    <w:rsid w:val="091C5306"/>
    <w:rsid w:val="09804CC7"/>
    <w:rsid w:val="0A016AD8"/>
    <w:rsid w:val="0AECD106"/>
    <w:rsid w:val="0B660694"/>
    <w:rsid w:val="0B9D3B39"/>
    <w:rsid w:val="0CBF4E24"/>
    <w:rsid w:val="0F29FDB1"/>
    <w:rsid w:val="0F74B04E"/>
    <w:rsid w:val="104B4FB7"/>
    <w:rsid w:val="115BEA51"/>
    <w:rsid w:val="11BE1ADC"/>
    <w:rsid w:val="127477AD"/>
    <w:rsid w:val="138AD29B"/>
    <w:rsid w:val="16ADCD54"/>
    <w:rsid w:val="179A7A2F"/>
    <w:rsid w:val="17E2A3F5"/>
    <w:rsid w:val="18CBA1AB"/>
    <w:rsid w:val="197E7456"/>
    <w:rsid w:val="1A23AEDF"/>
    <w:rsid w:val="1A4B1EC0"/>
    <w:rsid w:val="1B61FBEE"/>
    <w:rsid w:val="1C425AF0"/>
    <w:rsid w:val="1C8DF999"/>
    <w:rsid w:val="1FD43109"/>
    <w:rsid w:val="1FEDB5DA"/>
    <w:rsid w:val="20B6034F"/>
    <w:rsid w:val="228A19AD"/>
    <w:rsid w:val="2325569C"/>
    <w:rsid w:val="24180B62"/>
    <w:rsid w:val="24459A67"/>
    <w:rsid w:val="261A5E4F"/>
    <w:rsid w:val="27640A0C"/>
    <w:rsid w:val="28129BD1"/>
    <w:rsid w:val="283664F3"/>
    <w:rsid w:val="295F61EC"/>
    <w:rsid w:val="2B4A3C93"/>
    <w:rsid w:val="2C0B0317"/>
    <w:rsid w:val="2C7C5D49"/>
    <w:rsid w:val="2DA6D378"/>
    <w:rsid w:val="2F4F3F36"/>
    <w:rsid w:val="307FE5AF"/>
    <w:rsid w:val="32DFB8FA"/>
    <w:rsid w:val="3367D400"/>
    <w:rsid w:val="33DF18F6"/>
    <w:rsid w:val="346EFA30"/>
    <w:rsid w:val="34B04192"/>
    <w:rsid w:val="39ED11C2"/>
    <w:rsid w:val="3BF6546E"/>
    <w:rsid w:val="3D21B2CC"/>
    <w:rsid w:val="3D66563D"/>
    <w:rsid w:val="3F1E45C3"/>
    <w:rsid w:val="3F60B529"/>
    <w:rsid w:val="41759C3D"/>
    <w:rsid w:val="430C7470"/>
    <w:rsid w:val="47DFE593"/>
    <w:rsid w:val="483E741E"/>
    <w:rsid w:val="494D0E5C"/>
    <w:rsid w:val="4AA367D0"/>
    <w:rsid w:val="4B178655"/>
    <w:rsid w:val="4B705C31"/>
    <w:rsid w:val="4C0E97B4"/>
    <w:rsid w:val="4D2BDF19"/>
    <w:rsid w:val="4D9619B3"/>
    <w:rsid w:val="4DD3C6C1"/>
    <w:rsid w:val="4E818D0A"/>
    <w:rsid w:val="4EF66B37"/>
    <w:rsid w:val="4F132A01"/>
    <w:rsid w:val="51320168"/>
    <w:rsid w:val="51BB6277"/>
    <w:rsid w:val="51FA6403"/>
    <w:rsid w:val="53507D7C"/>
    <w:rsid w:val="56AB8F3A"/>
    <w:rsid w:val="57011687"/>
    <w:rsid w:val="5740A6FC"/>
    <w:rsid w:val="57BE54BA"/>
    <w:rsid w:val="589C1782"/>
    <w:rsid w:val="5999C744"/>
    <w:rsid w:val="599EBF72"/>
    <w:rsid w:val="5A7847BE"/>
    <w:rsid w:val="5B3597A5"/>
    <w:rsid w:val="5B68B0B2"/>
    <w:rsid w:val="5D956AF0"/>
    <w:rsid w:val="5DC87965"/>
    <w:rsid w:val="603F7BD4"/>
    <w:rsid w:val="6268DC13"/>
    <w:rsid w:val="62E9A10B"/>
    <w:rsid w:val="64EDD168"/>
    <w:rsid w:val="654E5831"/>
    <w:rsid w:val="67D9C8E6"/>
    <w:rsid w:val="6847D6C5"/>
    <w:rsid w:val="686570EB"/>
    <w:rsid w:val="6A01414C"/>
    <w:rsid w:val="6A34470A"/>
    <w:rsid w:val="6D04D67F"/>
    <w:rsid w:val="6D2CF1FE"/>
    <w:rsid w:val="6D38E20E"/>
    <w:rsid w:val="6D567D49"/>
    <w:rsid w:val="6DC3AED4"/>
    <w:rsid w:val="6F195ADD"/>
    <w:rsid w:val="6FCC999B"/>
    <w:rsid w:val="70FEBF56"/>
    <w:rsid w:val="714138A3"/>
    <w:rsid w:val="71B32C13"/>
    <w:rsid w:val="7292D058"/>
    <w:rsid w:val="739C3382"/>
    <w:rsid w:val="76C032E3"/>
    <w:rsid w:val="77DAE6F2"/>
    <w:rsid w:val="7831244B"/>
    <w:rsid w:val="79888AAD"/>
    <w:rsid w:val="7A76811B"/>
    <w:rsid w:val="7AAAEEAF"/>
    <w:rsid w:val="7B153F85"/>
    <w:rsid w:val="7E12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6AE1A"/>
  <w15:docId w15:val="{650F1C7D-EDF9-4507-98E7-C692DB38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re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6E0AA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354A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orpsdetexte">
    <w:name w:val="Body Text"/>
    <w:basedOn w:val="Normal"/>
    <w:pPr>
      <w:jc w:val="both"/>
    </w:pPr>
    <w:rPr>
      <w:rFonts w:ascii="Tahoma" w:hAnsi="Tahoma"/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Textedebulles">
    <w:name w:val="Balloon Text"/>
    <w:basedOn w:val="Normal"/>
    <w:rPr>
      <w:rFonts w:ascii="Tahoma" w:hAnsi="Tahoma" w:cs="Arial Black"/>
      <w:sz w:val="16"/>
      <w:szCs w:val="16"/>
    </w:rPr>
  </w:style>
  <w:style w:type="paragraph" w:styleId="Corpsdetexte2">
    <w:name w:val="Body Text 2"/>
    <w:basedOn w:val="Normal"/>
    <w:pPr>
      <w:jc w:val="both"/>
    </w:pPr>
    <w:rPr>
      <w:rFonts w:ascii="Tahoma" w:hAnsi="Tahoma"/>
      <w:sz w:val="16"/>
    </w:rPr>
  </w:style>
  <w:style w:type="paragraph" w:styleId="Corpsdetexte3">
    <w:name w:val="Body Text 3"/>
    <w:basedOn w:val="Normal"/>
    <w:pPr>
      <w:jc w:val="both"/>
    </w:pPr>
    <w:rPr>
      <w:rFonts w:ascii="Tahoma" w:hAnsi="Tahoma"/>
      <w:sz w:val="18"/>
    </w:rPr>
  </w:style>
  <w:style w:type="table" w:styleId="Listeclaire-Accent3">
    <w:name w:val="Light List Accent 3"/>
    <w:basedOn w:val="Tableau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</w:style>
  <w:style w:type="table" w:styleId="Grilledutableau">
    <w:name w:val="Table Grid"/>
    <w:basedOn w:val="Tableau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61">
    <w:name w:val="Tableau Grille 4 - Accentuation 61"/>
    <w:basedOn w:val="Tableau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</w:style>
  <w:style w:type="paragraph" w:styleId="Notedebasdepage">
    <w:name w:val="footnote text"/>
    <w:basedOn w:val="Normal"/>
    <w:qFormat/>
    <w:rPr>
      <w:sz w:val="20"/>
      <w:szCs w:val="20"/>
    </w:rPr>
  </w:style>
  <w:style w:type="character" w:customStyle="1" w:styleId="NotedebasdepageCar">
    <w:name w:val="Note de bas de page Car"/>
    <w:basedOn w:val="Policepardfaut"/>
    <w:rPr>
      <w:w w:val="100"/>
      <w:position w:val="-1"/>
      <w:effect w:val="none"/>
      <w:vertAlign w:val="baseline"/>
      <w:cs w:val="0"/>
      <w:em w:val="none"/>
    </w:rPr>
  </w:style>
  <w:style w:type="character" w:styleId="Appelnotedebasdep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itre7Car">
    <w:name w:val="Titre 7 Car"/>
    <w:basedOn w:val="Policepardfaut"/>
    <w:link w:val="Titre7"/>
    <w:uiPriority w:val="9"/>
    <w:rsid w:val="006E0AA3"/>
    <w:rPr>
      <w:rFonts w:asciiTheme="majorHAnsi" w:eastAsiaTheme="majorEastAsia" w:hAnsiTheme="majorHAnsi" w:cstheme="majorBidi"/>
      <w:i/>
      <w:iCs/>
      <w:color w:val="404040" w:themeColor="text1" w:themeTint="BF"/>
      <w:position w:val="-1"/>
    </w:rPr>
  </w:style>
  <w:style w:type="paragraph" w:styleId="Paragraphedeliste">
    <w:name w:val="List Paragraph"/>
    <w:basedOn w:val="Normal"/>
    <w:uiPriority w:val="34"/>
    <w:qFormat/>
    <w:rsid w:val="00A55E77"/>
    <w:pPr>
      <w:ind w:left="720"/>
      <w:contextualSpacing/>
    </w:pPr>
  </w:style>
  <w:style w:type="character" w:customStyle="1" w:styleId="Titre8Car">
    <w:name w:val="Titre 8 Car"/>
    <w:basedOn w:val="Policepardfaut"/>
    <w:link w:val="Titre8"/>
    <w:uiPriority w:val="9"/>
    <w:rsid w:val="002354A6"/>
    <w:rPr>
      <w:rFonts w:asciiTheme="majorHAnsi" w:eastAsiaTheme="majorEastAsia" w:hAnsiTheme="majorHAnsi" w:cstheme="majorBidi"/>
      <w:color w:val="272727" w:themeColor="text1" w:themeTint="D8"/>
      <w:position w:val="-1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14888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position w:val="-1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666F6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66F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Product%20Program%20-%20Easy%20Fly_satguru.xlsx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BCase_EasyFly_satGuru.xls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Particulier">
  <a:themeElements>
    <a:clrScheme name="Style Particulier">
      <a:dk1>
        <a:sysClr val="windowText" lastClr="000000"/>
      </a:dk1>
      <a:lt1>
        <a:sysClr val="window" lastClr="FFFFFF"/>
      </a:lt1>
      <a:dk2>
        <a:srgbClr val="60AB18"/>
      </a:dk2>
      <a:lt2>
        <a:srgbClr val="EEECE1"/>
      </a:lt2>
      <a:accent1>
        <a:srgbClr val="4F81BD"/>
      </a:accent1>
      <a:accent2>
        <a:srgbClr val="C0504D"/>
      </a:accent2>
      <a:accent3>
        <a:srgbClr val="60AB18"/>
      </a:accent3>
      <a:accent4>
        <a:srgbClr val="87C23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32EEF3B0A5B46B00B7544793226B3" ma:contentTypeVersion="15" ma:contentTypeDescription="Create a new document." ma:contentTypeScope="" ma:versionID="3d3bff5c260e719d39a092d5e526b1ec">
  <xsd:schema xmlns:xsd="http://www.w3.org/2001/XMLSchema" xmlns:xs="http://www.w3.org/2001/XMLSchema" xmlns:p="http://schemas.microsoft.com/office/2006/metadata/properties" xmlns:ns2="b1e346ab-df11-428c-91f8-40a9f36fde05" xmlns:ns3="fc64bafe-e7fe-421f-ab38-490ec9c334f5" targetNamespace="http://schemas.microsoft.com/office/2006/metadata/properties" ma:root="true" ma:fieldsID="8c5e425eaaf51a9bc58176a026351955" ns2:_="" ns3:_="">
    <xsd:import namespace="b1e346ab-df11-428c-91f8-40a9f36fde05"/>
    <xsd:import namespace="fc64bafe-e7fe-421f-ab38-490ec9c334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ag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346ab-df11-428c-91f8-40a9f36f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84276bb-ad61-458f-bfe8-ecc0bed875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g" ma:index="18" nillable="true" ma:displayName="Tag" ma:format="Dropdown" ma:internalName="Tag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4bafe-e7fe-421f-ab38-490ec9c334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4c10271-c6d1-4043-b9bc-fe0d384de7b8}" ma:internalName="TaxCatchAll" ma:showField="CatchAllData" ma:web="fc64bafe-e7fe-421f-ab38-490ec9c334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3aN1ps8BwtPW3GzD04eEy6wSw==">AMUW2mX06dYzHGLS0z0ZlFLX3/iGYpAZ0VtDxlpT4kC28aUGSQR1WNWdDxQr4bBP3h/Wy8Ui+jRVhsltXJCqZtoGo2NOGSzfB+RlXV411tTlFijvgDX6moA=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e346ab-df11-428c-91f8-40a9f36fde05">
      <Terms xmlns="http://schemas.microsoft.com/office/infopath/2007/PartnerControls"/>
    </lcf76f155ced4ddcb4097134ff3c332f>
    <Tag xmlns="b1e346ab-df11-428c-91f8-40a9f36fde05" xsi:nil="true"/>
    <TaxCatchAll xmlns="fc64bafe-e7fe-421f-ab38-490ec9c334f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41603-3859-476B-945A-1DB234DAA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346ab-df11-428c-91f8-40a9f36fde05"/>
    <ds:schemaRef ds:uri="fc64bafe-e7fe-421f-ab38-490ec9c33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70C4946-2022-4814-A80A-7E67A78075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FE768F-29DB-49F6-8853-5CF3E79204BD}">
  <ds:schemaRefs>
    <ds:schemaRef ds:uri="http://schemas.microsoft.com/office/2006/metadata/properties"/>
    <ds:schemaRef ds:uri="http://schemas.microsoft.com/office/infopath/2007/PartnerControls"/>
    <ds:schemaRef ds:uri="b1e346ab-df11-428c-91f8-40a9f36fde05"/>
    <ds:schemaRef ds:uri="fc64bafe-e7fe-421f-ab38-490ec9c334f5"/>
  </ds:schemaRefs>
</ds:datastoreItem>
</file>

<file path=customXml/itemProps5.xml><?xml version="1.0" encoding="utf-8"?>
<ds:datastoreItem xmlns:ds="http://schemas.openxmlformats.org/officeDocument/2006/customXml" ds:itemID="{3A49E99C-F5A2-4C18-96C6-3A0C3BA06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7616</TotalTime>
  <Pages>4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2021-07-05T18:09:00Z</cp:lastPrinted>
  <dcterms:created xsi:type="dcterms:W3CDTF">2024-03-08T08:47:00Z</dcterms:created>
  <dcterms:modified xsi:type="dcterms:W3CDTF">2024-03-20T16:43:00Z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0x01010071C32EEF3B0A5B46B00B7544793226B3</vt:lpwstr>
  </property>
  <property fmtid="{D5CDD505-2E9C-101B-9397-08002B2CF9AE}" pid="3" name="MediaServiceImageTags">
    <vt:lpwstr/>
  </property>
</Properties>
</file>