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5" w:before="315" w:line="360" w:lineRule="auto"/>
        <w:ind w:left="-3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About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rtl w:val="0"/>
        </w:rPr>
        <w:t xml:space="preserve">Tumia is becoming the go-to platform for purposeful, organized, and collaborative money management in Africa.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Feature 1: </w:t>
      </w: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Organize Money for Every 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10" w:line="360" w:lineRule="auto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Tumia helps individuals and organizations easily manage and track money collected for different purposes-all from a single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Purpose-Based Tracking: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br w:type="textWrapping"/>
        <w:t xml:space="preserve">Whether you’re a church collecting tithes and donations, a community group raising funds for multiple projects, or an individual managing contributions for events, Tumia lets you create dedicated channels for each cause.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One Account, Many Purposes: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br w:type="textWrapping"/>
        <w:t xml:space="preserve">No more confusion over which funds belong to which cause. With Tumia, every contribution is tagged and tracked by its intended purpose.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Real-Time Transparency: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br w:type="textWrapping"/>
        <w:t xml:space="preserve">Instantly see how much has been collected for each need, generate reports, and build trust with your contributors.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10" w:line="360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038850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26575" y="3779683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3885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Feature 2: </w:t>
      </w: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Coming Soon – Bring Order to Your Wallet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10" w:line="360" w:lineRule="auto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Soon, Tumia will help you organize your personal or business wallet-so your money is always where you need it, when you need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Virtual Sub-Wallets: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br w:type="textWrapping"/>
        <w:t xml:space="preserve">Split your main wallet into multiple sub-wallets for savings, bills, donations, business expenses, or family support-without opening new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Effortless Fund Allocation: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br w:type="textWrapping"/>
        <w:t xml:space="preserve">Move money between sub-wallets, set budgets, and track spending for each purpose.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Collaborative Management: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br w:type="textWrapping"/>
        <w:t xml:space="preserve">Share specific sub-wallets with family, business partners, or groups, with customizable permissions.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Real-Time Insights: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br w:type="textWrapping"/>
        <w:t xml:space="preserve">Get instant balance updates, spending alerts, and simple reports for each sub-wallet-making budgeting and financial planning stress-free.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10" w:line="360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038850" cy="12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26575" y="3779683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3885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10" w:line="36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Tumia transforms the way you interact with your money-bringing order, transparency, and control to your existing wallets, and makes financial management intuitive and stress-free.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65" w:top="1365" w:left="1365" w:right="13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1"/>
        <w:szCs w:val="21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