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BMP投标管理平台资源配置优化说明文档</w:t>
      </w:r>
    </w:p>
    <w:p>
      <w:pPr>
        <w:jc w:val="center"/>
      </w:pPr>
      <w:r>
        <w:t>用于说明原始配置到优化后配置的调整逻辑、优化点及预期收益</w:t>
      </w:r>
    </w:p>
    <w:p>
      <w:pPr>
        <w:pStyle w:val="Heading1"/>
      </w:pPr>
      <w:r>
        <w:rPr>
          <w:b/>
        </w:rPr>
        <w:t>一、文档目的</w:t>
      </w:r>
    </w:p>
    <w:p>
      <w:pPr>
        <w:spacing w:after="120"/>
      </w:pPr>
      <w:r>
        <w:t>本文档用于说明 BMP 投标管理平台从原始资源配置方案调整为优化后资源配置方案的原因、原则与具体优化项。文档重点不是简单罗列“升配了哪些资源”，而是解释每项调整解决了什么问题、降低了什么风险、提升了哪些能力，以便用于项目立项、资源申请、技术评审、上线汇报和后续运维留档。</w:t>
      </w:r>
    </w:p>
    <w:p>
      <w:pPr>
        <w:pStyle w:val="Heading1"/>
      </w:pPr>
      <w:r>
        <w:rPr>
          <w:b/>
        </w:rPr>
        <w:t>二、原始配置概述</w:t>
      </w:r>
    </w:p>
    <w:p>
      <w:pPr>
        <w:spacing w:after="120"/>
      </w:pPr>
      <w:r>
        <w:t>原始方案已经具备基础可用性，能够支撑 BMP 平台的开发测试与生产运行，但整体设计更偏向“可运行”而非“高稳定、高扩展、高性能”。测试环境以最小化投入为主，生产环境虽然已经拆分了主服务、工作节点、数据库、缓存和文件存储，但在软件版本、容量冗余、存储介质、高可用架构和观测能力方面仍存在明显提升空间。</w:t>
      </w:r>
    </w:p>
    <w:p>
      <w:pPr>
        <w:pStyle w:val="ListBullet"/>
        <w:spacing w:after="40"/>
      </w:pPr>
      <w:r>
        <w:t>测试环境主机资源偏紧，多数节点停留在 8 vCPU / 16GB 内存级别，且部分节点仍使用机械盘。</w:t>
      </w:r>
    </w:p>
    <w:p>
      <w:pPr>
        <w:pStyle w:val="ListBullet"/>
        <w:spacing w:after="40"/>
      </w:pPr>
      <w:r>
        <w:t>测试环境基础软件版本偏老，采用 Ubuntu 20.04、Python 3.8+、PostgreSQL 12、Redis 6.0、Nginx 1.18。</w:t>
      </w:r>
    </w:p>
    <w:p>
      <w:pPr>
        <w:pStyle w:val="ListBullet"/>
        <w:spacing w:after="40"/>
      </w:pPr>
      <w:r>
        <w:t>生产环境主服务和 Worker 已拆分，但业务节点、数据库、缓存、文件存储的整体配置仍偏保守。</w:t>
      </w:r>
    </w:p>
    <w:p>
      <w:pPr>
        <w:pStyle w:val="ListBullet"/>
        <w:spacing w:after="40"/>
      </w:pPr>
      <w:r>
        <w:t>数据库虽有独立节点，但整体高可用与容量冗余说明不够充分，内存规模与未来增长预留不足。</w:t>
      </w:r>
    </w:p>
    <w:p>
      <w:pPr>
        <w:pStyle w:val="ListBullet"/>
        <w:spacing w:after="40"/>
      </w:pPr>
      <w:r>
        <w:t>缓存层规模较小，难以同时承担高并发缓存访问、队列场景和未来更多热点数据。</w:t>
      </w:r>
    </w:p>
    <w:p>
      <w:pPr>
        <w:pStyle w:val="ListBullet"/>
        <w:spacing w:after="40"/>
      </w:pPr>
      <w:r>
        <w:t>对象存储采用 2 节点方案，容灾与扩展性不足，长期不利于生产级归档、附件、文件类业务增长。</w:t>
      </w:r>
    </w:p>
    <w:p>
      <w:pPr>
        <w:pStyle w:val="ListBullet"/>
        <w:spacing w:after="40"/>
      </w:pPr>
      <w:r>
        <w:t>监控、文件代理、SDK 集成等能力分散在业务节点说明中，缺乏更清晰的独立观测与运维视角。</w:t>
      </w:r>
    </w:p>
    <w:p>
      <w:pPr>
        <w:pStyle w:val="Heading1"/>
      </w:pPr>
      <w:r>
        <w:rPr>
          <w:b/>
        </w:rPr>
        <w:t>三、原始配置存在的主要问题</w:t>
      </w:r>
    </w:p>
    <w:p>
      <w:pPr>
        <w:pStyle w:val="ListBullet"/>
        <w:spacing w:after="40"/>
      </w:pPr>
      <w:r>
        <w:t>软件版本老化问题：Ubuntu 20.04 标准支持期已结束，PostgreSQL 12、Redis 6、Nginx 1.18/1.20 也都已明显落后，不利于长期维护、漏洞修复与新特性使用。</w:t>
      </w:r>
    </w:p>
    <w:p>
      <w:pPr>
        <w:pStyle w:val="ListBullet"/>
        <w:spacing w:after="40"/>
      </w:pPr>
      <w:r>
        <w:t>资源配置偏紧问题：测试环境和部分生产节点 CPU、内存、磁盘容量偏小，面对代码执行任务、并发用户访问、批量文件处理等场景时，容易产生资源争用。</w:t>
      </w:r>
    </w:p>
    <w:p>
      <w:pPr>
        <w:pStyle w:val="ListBullet"/>
        <w:spacing w:after="40"/>
      </w:pPr>
      <w:r>
        <w:t>磁盘介质不统一问题：关键业务、数据库、缓存如果仍混用机械盘或低规格 SSD，会在随机读写、日志写入、数据库 checkpoint、缓存持久化等场景中出现瓶颈。</w:t>
      </w:r>
    </w:p>
    <w:p>
      <w:pPr>
        <w:pStyle w:val="ListBullet"/>
        <w:spacing w:after="40"/>
      </w:pPr>
      <w:r>
        <w:t>高可用能力不足问题：数据库热备、缓存三节点、对象存储多节点的必要性在原方案中没有完全拉满，单点风险和故障切换能力仍可提升。</w:t>
      </w:r>
    </w:p>
    <w:p>
      <w:pPr>
        <w:pStyle w:val="ListBullet"/>
        <w:spacing w:after="40"/>
      </w:pPr>
      <w:r>
        <w:t>扩展性不足问题：原始配置更像阶段性可用架构，随着业务量、附件量、代码执行任务和并发压力上升，横向扩容空间有限。</w:t>
      </w:r>
    </w:p>
    <w:p>
      <w:pPr>
        <w:pStyle w:val="ListBullet"/>
        <w:spacing w:after="40"/>
      </w:pPr>
      <w:r>
        <w:t>运维观测能力不足问题：Prometheus Exporter、Nginx 文件代理、MinIO SDK 等能力描述存在，但缺少更清晰的监控与告警节点规划。</w:t>
      </w:r>
    </w:p>
    <w:p>
      <w:pPr>
        <w:pStyle w:val="Heading1"/>
      </w:pPr>
      <w:r>
        <w:rPr>
          <w:b/>
        </w:rPr>
        <w:t>四、优化原则</w:t>
      </w:r>
    </w:p>
    <w:p>
      <w:pPr>
        <w:pStyle w:val="ListBullet"/>
        <w:spacing w:after="40"/>
      </w:pPr>
      <w:r>
        <w:t>在满足业务需要的前提下，关键资源尽量拉满，但不过度追求不成熟的新技术。</w:t>
      </w:r>
    </w:p>
    <w:p>
      <w:pPr>
        <w:pStyle w:val="ListBullet"/>
        <w:spacing w:after="40"/>
      </w:pPr>
      <w:r>
        <w:t>优先提升稳定性、可维护性和高可用能力，再提升单机性能。</w:t>
      </w:r>
    </w:p>
    <w:p>
      <w:pPr>
        <w:pStyle w:val="ListBullet"/>
        <w:spacing w:after="40"/>
      </w:pPr>
      <w:r>
        <w:t>关键数据链路优先采用 NVMe/SSD，机械盘仅保留给对象存储数据盘等顺序读写型场景。</w:t>
      </w:r>
    </w:p>
    <w:p>
      <w:pPr>
        <w:pStyle w:val="ListBullet"/>
        <w:spacing w:after="40"/>
      </w:pPr>
      <w:r>
        <w:t>核心服务与附属能力解耦，避免单个节点既承载主业务又堆叠过多关键依赖。</w:t>
      </w:r>
    </w:p>
    <w:p>
      <w:pPr>
        <w:pStyle w:val="ListBullet"/>
        <w:spacing w:after="40"/>
      </w:pPr>
      <w:r>
        <w:t>统一系统版本与运行时版本，降低环境差异带来的兼容性风险。</w:t>
      </w:r>
    </w:p>
    <w:p>
      <w:pPr>
        <w:pStyle w:val="ListBullet"/>
        <w:spacing w:after="40"/>
      </w:pPr>
      <w:r>
        <w:t>资源规划不仅满足当前上线，还预留未来一段时间的业务增长空间。</w:t>
      </w:r>
    </w:p>
    <w:p>
      <w:pPr>
        <w:pStyle w:val="Heading1"/>
      </w:pPr>
      <w:r>
        <w:rPr>
          <w:b/>
        </w:rPr>
        <w:t>五、配置优化总览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优化维度</w:t>
            </w:r>
          </w:p>
        </w:tc>
        <w:tc>
          <w:tcPr>
            <w:tcW w:type="dxa" w:w="2160"/>
          </w:tcPr>
          <w:p>
            <w:r>
              <w:t>原配置</w:t>
            </w:r>
          </w:p>
        </w:tc>
        <w:tc>
          <w:tcPr>
            <w:tcW w:type="dxa" w:w="2160"/>
          </w:tcPr>
          <w:p>
            <w:r>
              <w:t>优化后配置</w:t>
            </w:r>
          </w:p>
        </w:tc>
        <w:tc>
          <w:tcPr>
            <w:tcW w:type="dxa" w:w="2160"/>
          </w:tcPr>
          <w:p>
            <w:r>
              <w:t>优化说明</w:t>
            </w:r>
          </w:p>
        </w:tc>
      </w:tr>
      <w:tr>
        <w:tc>
          <w:tcPr>
            <w:tcW w:type="dxa" w:w="2160"/>
          </w:tcPr>
          <w:p>
            <w:r>
              <w:t>操作系统基线</w:t>
            </w:r>
          </w:p>
        </w:tc>
        <w:tc>
          <w:tcPr>
            <w:tcW w:type="dxa" w:w="2160"/>
          </w:tcPr>
          <w:p>
            <w:r>
              <w:t>Ubuntu 20.04 LTS 为主</w:t>
            </w:r>
          </w:p>
        </w:tc>
        <w:tc>
          <w:tcPr>
            <w:tcW w:type="dxa" w:w="2160"/>
          </w:tcPr>
          <w:p>
            <w:r>
              <w:t>统一提升到 Ubuntu 24.04 LTS</w:t>
            </w:r>
          </w:p>
        </w:tc>
        <w:tc>
          <w:tcPr>
            <w:tcW w:type="dxa" w:w="2160"/>
          </w:tcPr>
          <w:p>
            <w:r>
              <w:t>提升长期支持能力，减少系统层老化风险，便于后续补丁和统一运维。</w:t>
            </w:r>
          </w:p>
        </w:tc>
      </w:tr>
      <w:tr>
        <w:tc>
          <w:tcPr>
            <w:tcW w:type="dxa" w:w="2160"/>
          </w:tcPr>
          <w:p>
            <w:r>
              <w:t>Python 运行时</w:t>
            </w:r>
          </w:p>
        </w:tc>
        <w:tc>
          <w:tcPr>
            <w:tcW w:type="dxa" w:w="2160"/>
          </w:tcPr>
          <w:p>
            <w:r>
              <w:t>测试 3.8+、生产 3.9+</w:t>
            </w:r>
          </w:p>
        </w:tc>
        <w:tc>
          <w:tcPr>
            <w:tcW w:type="dxa" w:w="2160"/>
          </w:tcPr>
          <w:p>
            <w:r>
              <w:t>统一到 Python 3.13</w:t>
            </w:r>
          </w:p>
        </w:tc>
        <w:tc>
          <w:tcPr>
            <w:tcW w:type="dxa" w:w="2160"/>
          </w:tcPr>
          <w:p>
            <w:r>
              <w:t>统一开发、测试、生产环境，减少版本差异导致的依赖和兼容问题。</w:t>
            </w:r>
          </w:p>
        </w:tc>
      </w:tr>
      <w:tr>
        <w:tc>
          <w:tcPr>
            <w:tcW w:type="dxa" w:w="2160"/>
          </w:tcPr>
          <w:p>
            <w:r>
              <w:t>数据库版本</w:t>
            </w:r>
          </w:p>
        </w:tc>
        <w:tc>
          <w:tcPr>
            <w:tcW w:type="dxa" w:w="2160"/>
          </w:tcPr>
          <w:p>
            <w:r>
              <w:t>PostgreSQL 12/13 混用</w:t>
            </w:r>
          </w:p>
        </w:tc>
        <w:tc>
          <w:tcPr>
            <w:tcW w:type="dxa" w:w="2160"/>
          </w:tcPr>
          <w:p>
            <w:r>
              <w:t>统一到 PostgreSQL 16</w:t>
            </w:r>
          </w:p>
        </w:tc>
        <w:tc>
          <w:tcPr>
            <w:tcW w:type="dxa" w:w="2160"/>
          </w:tcPr>
          <w:p>
            <w:r>
              <w:t>获得更好的性能、复制能力和长期维护性，同时规避旧版本停止支持的风险。</w:t>
            </w:r>
          </w:p>
        </w:tc>
      </w:tr>
      <w:tr>
        <w:tc>
          <w:tcPr>
            <w:tcW w:type="dxa" w:w="2160"/>
          </w:tcPr>
          <w:p>
            <w:r>
              <w:t>缓存版本</w:t>
            </w:r>
          </w:p>
        </w:tc>
        <w:tc>
          <w:tcPr>
            <w:tcW w:type="dxa" w:w="2160"/>
          </w:tcPr>
          <w:p>
            <w:r>
              <w:t>Redis 6.0/6.2</w:t>
            </w:r>
          </w:p>
        </w:tc>
        <w:tc>
          <w:tcPr>
            <w:tcW w:type="dxa" w:w="2160"/>
          </w:tcPr>
          <w:p>
            <w:r>
              <w:t>统一到 Redis 8.2</w:t>
            </w:r>
          </w:p>
        </w:tc>
        <w:tc>
          <w:tcPr>
            <w:tcW w:type="dxa" w:w="2160"/>
          </w:tcPr>
          <w:p>
            <w:r>
              <w:t>提升可维护性和性能基线，为后续缓存、队列与会话场景提供更稳的支撑。</w:t>
            </w:r>
          </w:p>
        </w:tc>
      </w:tr>
      <w:tr>
        <w:tc>
          <w:tcPr>
            <w:tcW w:type="dxa" w:w="2160"/>
          </w:tcPr>
          <w:p>
            <w:r>
              <w:t>Nginx 版本</w:t>
            </w:r>
          </w:p>
        </w:tc>
        <w:tc>
          <w:tcPr>
            <w:tcW w:type="dxa" w:w="2160"/>
          </w:tcPr>
          <w:p>
            <w:r>
              <w:t>1.18/1.20</w:t>
            </w:r>
          </w:p>
        </w:tc>
        <w:tc>
          <w:tcPr>
            <w:tcW w:type="dxa" w:w="2160"/>
          </w:tcPr>
          <w:p>
            <w:r>
              <w:t>升级到 1.30 stable</w:t>
            </w:r>
          </w:p>
        </w:tc>
        <w:tc>
          <w:tcPr>
            <w:tcW w:type="dxa" w:w="2160"/>
          </w:tcPr>
          <w:p>
            <w:r>
              <w:t>减少历史版本遗留风险，统一反向代理层能力。</w:t>
            </w:r>
          </w:p>
        </w:tc>
      </w:tr>
      <w:tr>
        <w:tc>
          <w:tcPr>
            <w:tcW w:type="dxa" w:w="2160"/>
          </w:tcPr>
          <w:p>
            <w:r>
              <w:t>测试环境资源</w:t>
            </w:r>
          </w:p>
        </w:tc>
        <w:tc>
          <w:tcPr>
            <w:tcW w:type="dxa" w:w="2160"/>
          </w:tcPr>
          <w:p>
            <w:r>
              <w:t>以 8 vCPU / 16GB 为主，含机械盘</w:t>
            </w:r>
          </w:p>
        </w:tc>
        <w:tc>
          <w:tcPr>
            <w:tcW w:type="dxa" w:w="2160"/>
          </w:tcPr>
          <w:p>
            <w:r>
              <w:t>关键测试节点提升至 16 vCPU / 32GB / NVMe SSD</w:t>
            </w:r>
          </w:p>
        </w:tc>
        <w:tc>
          <w:tcPr>
            <w:tcW w:type="dxa" w:w="2160"/>
          </w:tcPr>
          <w:p>
            <w:r>
              <w:t>测试环境不再只是“能跑”，而是能支撑联调、压测前验证和稳定回归。</w:t>
            </w:r>
          </w:p>
        </w:tc>
      </w:tr>
      <w:tr>
        <w:tc>
          <w:tcPr>
            <w:tcW w:type="dxa" w:w="2160"/>
          </w:tcPr>
          <w:p>
            <w:r>
              <w:t>生产业务节点</w:t>
            </w:r>
          </w:p>
        </w:tc>
        <w:tc>
          <w:tcPr>
            <w:tcW w:type="dxa" w:w="2160"/>
          </w:tcPr>
          <w:p>
            <w:r>
              <w:t>16 vCPU / 32GB / 500GB SSD 为主</w:t>
            </w:r>
          </w:p>
        </w:tc>
        <w:tc>
          <w:tcPr>
            <w:tcW w:type="dxa" w:w="2160"/>
          </w:tcPr>
          <w:p>
            <w:r>
              <w:t>提升至 24 vCPU / 64GB / 1TB NVMe SSD</w:t>
            </w:r>
          </w:p>
        </w:tc>
        <w:tc>
          <w:tcPr>
            <w:tcW w:type="dxa" w:w="2160"/>
          </w:tcPr>
          <w:p>
            <w:r>
              <w:t>增强入口服务和 Worker 的吞吐能力，并为业务增长预留空间。</w:t>
            </w:r>
          </w:p>
        </w:tc>
      </w:tr>
      <w:tr>
        <w:tc>
          <w:tcPr>
            <w:tcW w:type="dxa" w:w="2160"/>
          </w:tcPr>
          <w:p>
            <w:r>
              <w:t>数据库架构</w:t>
            </w:r>
          </w:p>
        </w:tc>
        <w:tc>
          <w:tcPr>
            <w:tcW w:type="dxa" w:w="2160"/>
          </w:tcPr>
          <w:p>
            <w:r>
              <w:t>独立数据库节点，但说明偏保守</w:t>
            </w:r>
          </w:p>
        </w:tc>
        <w:tc>
          <w:tcPr>
            <w:tcW w:type="dxa" w:w="2160"/>
          </w:tcPr>
          <w:p>
            <w:r>
              <w:t>主库 + 热备从库，双 32 vCPU / 128GB / NVMe RAID10</w:t>
            </w:r>
          </w:p>
        </w:tc>
        <w:tc>
          <w:tcPr>
            <w:tcW w:type="dxa" w:w="2160"/>
          </w:tcPr>
          <w:p>
            <w:r>
              <w:t>强化数据库高可用、容灾与读写性能。</w:t>
            </w:r>
          </w:p>
        </w:tc>
      </w:tr>
      <w:tr>
        <w:tc>
          <w:tcPr>
            <w:tcW w:type="dxa" w:w="2160"/>
          </w:tcPr>
          <w:p>
            <w:r>
              <w:t>缓存架构</w:t>
            </w:r>
          </w:p>
        </w:tc>
        <w:tc>
          <w:tcPr>
            <w:tcW w:type="dxa" w:w="2160"/>
          </w:tcPr>
          <w:p>
            <w:r>
              <w:t>单节点或规模偏小</w:t>
            </w:r>
          </w:p>
        </w:tc>
        <w:tc>
          <w:tcPr>
            <w:tcW w:type="dxa" w:w="2160"/>
          </w:tcPr>
          <w:p>
            <w:r>
              <w:t>3 节点 Redis Sentinel / Cluster</w:t>
            </w:r>
          </w:p>
        </w:tc>
        <w:tc>
          <w:tcPr>
            <w:tcW w:type="dxa" w:w="2160"/>
          </w:tcPr>
          <w:p>
            <w:r>
              <w:t>避免缓存成为单点，提升故障切换和容量扩展能力。</w:t>
            </w:r>
          </w:p>
        </w:tc>
      </w:tr>
      <w:tr>
        <w:tc>
          <w:tcPr>
            <w:tcW w:type="dxa" w:w="2160"/>
          </w:tcPr>
          <w:p>
            <w:r>
              <w:t>对象存储</w:t>
            </w:r>
          </w:p>
        </w:tc>
        <w:tc>
          <w:tcPr>
            <w:tcW w:type="dxa" w:w="2160"/>
          </w:tcPr>
          <w:p>
            <w:r>
              <w:t>2 节点 MinIO 分布式或单机测试</w:t>
            </w:r>
          </w:p>
        </w:tc>
        <w:tc>
          <w:tcPr>
            <w:tcW w:type="dxa" w:w="2160"/>
          </w:tcPr>
          <w:p>
            <w:r>
              <w:t>生产改为 4 节点分布式集群</w:t>
            </w:r>
          </w:p>
        </w:tc>
        <w:tc>
          <w:tcPr>
            <w:tcW w:type="dxa" w:w="2160"/>
          </w:tcPr>
          <w:p>
            <w:r>
              <w:t>更符合生产级对象存储的可用性与扩容要求。</w:t>
            </w:r>
          </w:p>
        </w:tc>
      </w:tr>
      <w:tr>
        <w:tc>
          <w:tcPr>
            <w:tcW w:type="dxa" w:w="2160"/>
          </w:tcPr>
          <w:p>
            <w:r>
              <w:t>监控与告警</w:t>
            </w:r>
          </w:p>
        </w:tc>
        <w:tc>
          <w:tcPr>
            <w:tcW w:type="dxa" w:w="2160"/>
          </w:tcPr>
          <w:p>
            <w:r>
              <w:t>Exporter 等能力分散</w:t>
            </w:r>
          </w:p>
        </w:tc>
        <w:tc>
          <w:tcPr>
            <w:tcW w:type="dxa" w:w="2160"/>
          </w:tcPr>
          <w:p>
            <w:r>
              <w:t>独立观测节点 Prometheus / Grafana / Alertmanager</w:t>
            </w:r>
          </w:p>
        </w:tc>
        <w:tc>
          <w:tcPr>
            <w:tcW w:type="dxa" w:w="2160"/>
          </w:tcPr>
          <w:p>
            <w:r>
              <w:t>提升监控清晰度和告警可靠性，减少与业务节点互相影响。</w:t>
            </w:r>
          </w:p>
        </w:tc>
      </w:tr>
    </w:tbl>
    <w:p>
      <w:pPr>
        <w:pStyle w:val="Heading1"/>
      </w:pPr>
      <w:r>
        <w:rPr>
          <w:b/>
        </w:rPr>
        <w:t>六、逐项优化说明</w:t>
      </w:r>
    </w:p>
    <w:p>
      <w:pPr>
        <w:pStyle w:val="Heading2"/>
      </w:pPr>
      <w:r>
        <w:rPr>
          <w:b/>
        </w:rPr>
        <w:t>6.1 测试环境优化说明</w:t>
      </w:r>
    </w:p>
    <w:p>
      <w:pPr>
        <w:spacing w:after="120"/>
      </w:pPr>
      <w:r>
        <w:t>原测试环境主要目标是基础开发与验证，因此资源配置偏轻。但在实际项目推进中，测试环境往往同时承担开发联调、问题复现、版本回归、接口压测前验证、对象存储联通性测试、代码执行引擎验证等任务。如果测试环境与生产环境差距过大，很多问题会在上线后才暴露，导致定位成本和变更风险上升。因此本次优化并非单纯把测试环境“加大一倍”，而是让测试环境具备更接近生产的基础能力。</w:t>
      </w:r>
    </w:p>
    <w:p>
      <w:pPr>
        <w:pStyle w:val="ListBullet"/>
        <w:spacing w:after="40"/>
      </w:pPr>
      <w:r>
        <w:t>107-bmp-base 从 8 vCPU / 16GB / 100GB 机械盘级别，提升到 16 vCPU / 32GB / 500GB NVMe SSD。优化点在于：主服务、数据库、缓存、Nginx 同时运行时有更充分的资源余量，I/O 性能也显著提升。</w:t>
      </w:r>
    </w:p>
    <w:p>
      <w:pPr>
        <w:pStyle w:val="ListBullet"/>
        <w:spacing w:after="40"/>
      </w:pPr>
      <w:r>
        <w:t>107-bmp-future-code 同步提升到 16 vCPU / 32GB / 500GB NVMe SSD。这样代码执行任务在并发运行时更不容易因为 CPU 与内存不足导致执行超时或宿主机抖动。</w:t>
      </w:r>
    </w:p>
    <w:p>
      <w:pPr>
        <w:pStyle w:val="ListBullet"/>
        <w:spacing w:after="40"/>
      </w:pPr>
      <w:r>
        <w:t>测试 MinIO 从“复用节点 + 机械盘”转为独立单机对象存储节点，建议 8 vCPU / 16GB / 1TB SSD。这样能降低测试环境中的相互干扰，也能更真实地验证对象存储访问路径。</w:t>
      </w:r>
    </w:p>
    <w:p>
      <w:pPr>
        <w:pStyle w:val="ListBullet"/>
        <w:spacing w:after="40"/>
      </w:pPr>
      <w:r>
        <w:t>测试环境的 MinIO Client SDK 保持集成在业务服务中，不额外占主机，符合其作为客户端依赖而非独立服务的定位。</w:t>
      </w:r>
    </w:p>
    <w:p>
      <w:pPr>
        <w:pStyle w:val="ListBullet"/>
        <w:spacing w:after="40"/>
      </w:pPr>
      <w:r>
        <w:t>测试环境统一切换到 Ubuntu 24.04 LTS 与 Python 3.13，有利于在开发期提前暴露版本兼容问题，减少“测试没问题、生产有问题”的环境偏差。</w:t>
      </w:r>
    </w:p>
    <w:p>
      <w:pPr>
        <w:pStyle w:val="Heading2"/>
      </w:pPr>
      <w:r>
        <w:rPr>
          <w:b/>
        </w:rPr>
        <w:t>6.2 生产主服务与 Worker 节点优化说明</w:t>
      </w:r>
    </w:p>
    <w:p>
      <w:pPr>
        <w:spacing w:after="120"/>
      </w:pPr>
      <w:r>
        <w:t>原生产环境已经将主服务与 Worker 节点分离，这是正确方向。但原始 16 vCPU / 32GB / 500GB SSD 的配置更适合作为中等规模初始上线基线。考虑到 BMP 平台除了 Web/API 请求外，还存在代码执行、异步处理、文件处理、任务调度等负载，单机资源应适度上探，以避免上线不久后再次申请扩容。</w:t>
      </w:r>
    </w:p>
    <w:p>
      <w:pPr>
        <w:pStyle w:val="ListBullet"/>
        <w:spacing w:after="40"/>
      </w:pPr>
      <w:r>
        <w:t>107-bmp-prod-main 从 16 vCPU / 32GB / 500GB SSD + 1TB HDD 调整为 24 vCPU / 64GB / 1TB NVMe SSD。主要优化点是提升主服务节点的并发处理、日志写入、临时文件处理、反向代理吞吐和业务高峰承载能力。</w:t>
      </w:r>
    </w:p>
    <w:p>
      <w:pPr>
        <w:pStyle w:val="ListBullet"/>
        <w:spacing w:after="40"/>
      </w:pPr>
      <w:r>
        <w:t>3 台 Worker 节点统一提升到 24 vCPU / 64GB / 1TB NVMe SSD。这样在代码执行引擎、批处理任务、异步任务并发增加时，能够维持更稳定的执行时延。</w:t>
      </w:r>
    </w:p>
    <w:p>
      <w:pPr>
        <w:pStyle w:val="ListBullet"/>
        <w:spacing w:after="40"/>
      </w:pPr>
      <w:r>
        <w:t>将业务关键节点存储统一收敛到 NVMe SSD，而不是继续保留 HDD 混搭模式，目的是减少随机 I/O 瓶颈，提升队列处理、日志写入和缓存落盘的整体表现。</w:t>
      </w:r>
    </w:p>
    <w:p>
      <w:pPr>
        <w:pStyle w:val="ListBullet"/>
        <w:spacing w:after="40"/>
      </w:pPr>
      <w:r>
        <w:t>主服务与 Worker 保持职责分离，避免把大量重负载任务重新堆回主服务节点，确保入口服务在高峰时段仍具备稳定响应能力。</w:t>
      </w:r>
    </w:p>
    <w:p>
      <w:pPr>
        <w:pStyle w:val="Heading2"/>
      </w:pPr>
      <w:r>
        <w:rPr>
          <w:b/>
        </w:rPr>
        <w:t>6.3 数据库层优化说明</w:t>
      </w:r>
    </w:p>
    <w:p>
      <w:pPr>
        <w:spacing w:after="120"/>
      </w:pPr>
      <w:r>
        <w:t>数据库是整个平台最核心的状态数据承载层，也是对稳定性最敏感的部分。原始方案虽然已经有独立数据库节点，但从生产级视角看，仅有“独立节点”还不够，需要进一步在版本、容量、磁盘性能和高可用机制上拉满关键指标。</w:t>
      </w:r>
    </w:p>
    <w:p>
      <w:pPr>
        <w:pStyle w:val="ListBullet"/>
        <w:spacing w:after="40"/>
      </w:pPr>
      <w:r>
        <w:t>数据库版本统一从 PostgreSQL 12/13 提升至 PostgreSQL 16。优化点包括：更长的支持周期、更成熟的复制能力、更好的查询规划与性能表现。</w:t>
      </w:r>
    </w:p>
    <w:p>
      <w:pPr>
        <w:pStyle w:val="ListBullet"/>
        <w:spacing w:after="40"/>
      </w:pPr>
      <w:r>
        <w:t>数据库主节点从 32 vCPU / 64GB / 2TB SSD RAID10 提升为 32 vCPU / 128GB / 4 x 1.92TB NVMe RAID10。CPU 核数保持在高位，重点把内存与磁盘 IOPS 拉高，使数据库更适合高并发访问、索引缓存、排序和事务写入。</w:t>
      </w:r>
    </w:p>
    <w:p>
      <w:pPr>
        <w:pStyle w:val="ListBullet"/>
        <w:spacing w:after="40"/>
      </w:pPr>
      <w:r>
        <w:t>新增数据库热备从库，与主库保持同等级配置，用于故障切换、灾备和必要时的只读分流准备。相比单节点方案，这一变化是本次优化中最关键的高可用增强项之一。</w:t>
      </w:r>
    </w:p>
    <w:p>
      <w:pPr>
        <w:pStyle w:val="ListBullet"/>
        <w:spacing w:after="40"/>
      </w:pPr>
      <w:r>
        <w:t>数据库节点建议独占资源，不再与其他服务混布，减少资源争抢对事务响应和复制延迟造成影响。</w:t>
      </w:r>
    </w:p>
    <w:p>
      <w:pPr>
        <w:pStyle w:val="ListBullet"/>
        <w:spacing w:after="40"/>
      </w:pPr>
      <w:r>
        <w:t>数据库侧还应配套 WAL 归档、定期全量备份、恢复演练机制。配置升配解决的是承载问题，备份与恢复演练解决的是数据安全问题，两者必须同时存在。</w:t>
      </w:r>
    </w:p>
    <w:p>
      <w:pPr>
        <w:pStyle w:val="Heading2"/>
      </w:pPr>
      <w:r>
        <w:rPr>
          <w:b/>
        </w:rPr>
        <w:t>6.4 缓存与消息能力优化说明</w:t>
      </w:r>
    </w:p>
    <w:p>
      <w:pPr>
        <w:spacing w:after="120"/>
      </w:pPr>
      <w:r>
        <w:t>原始配置中缓存节点资源较小，且整体更像单节点或低规模部署。对于 BMP 平台这类含有会话、热点查询、任务状态、短期数据缓存、消息辅助场景的平台，Redis 不宜继续维持为轻量附属能力，而应升级为具备基础高可用和容量冗余的服务层。</w:t>
      </w:r>
    </w:p>
    <w:p>
      <w:pPr>
        <w:pStyle w:val="ListBullet"/>
        <w:spacing w:after="40"/>
      </w:pPr>
      <w:r>
        <w:t>Redis 从 6.0/6.2 统一升级到 8.2，减少旧版本维护负担，并提升长期可持续性。</w:t>
      </w:r>
    </w:p>
    <w:p>
      <w:pPr>
        <w:pStyle w:val="ListBullet"/>
        <w:spacing w:after="40"/>
      </w:pPr>
      <w:r>
        <w:t>缓存层从单点或弱冗余配置升级为 3 节点 Redis Sentinel / Cluster，每台建议 8 vCPU / 32GB / 500GB NVMe SSD。</w:t>
      </w:r>
    </w:p>
    <w:p>
      <w:pPr>
        <w:pStyle w:val="ListBullet"/>
        <w:spacing w:after="40"/>
      </w:pPr>
      <w:r>
        <w:t>相比原来的 8 vCPU / 16GB 等级，内存翻倍的意义在于显著扩大热点数据驻留空间，降低淘汰频率和抖动风险。</w:t>
      </w:r>
    </w:p>
    <w:p>
      <w:pPr>
        <w:pStyle w:val="ListBullet"/>
        <w:spacing w:after="40"/>
      </w:pPr>
      <w:r>
        <w:t>采用 3 节点结构后，即使单节点故障，也能够通过 Sentinel 或集群机制完成故障感知与切换，避免缓存层成为生产单点。</w:t>
      </w:r>
    </w:p>
    <w:p>
      <w:pPr>
        <w:pStyle w:val="Heading2"/>
      </w:pPr>
      <w:r>
        <w:rPr>
          <w:b/>
        </w:rPr>
        <w:t>6.5 对象存储优化说明</w:t>
      </w:r>
    </w:p>
    <w:p>
      <w:pPr>
        <w:spacing w:after="120"/>
      </w:pPr>
      <w:r>
        <w:t>对象存储用于承载附件、归档、导出文件、历史材料和其他二进制资源。原始生产方案采用 2 节点 MinIO 分布式集群，虽然初期可用，但从真正的生产稳定性看，2 节点结构在容灾、扩容和维护窗口上都存在明显局限。因此本次优化将对象存储作为独立能力重点加强。</w:t>
      </w:r>
    </w:p>
    <w:p>
      <w:pPr>
        <w:pStyle w:val="ListBullet"/>
        <w:spacing w:after="40"/>
      </w:pPr>
      <w:r>
        <w:t>测试环境 MinIO 保持单机，但从复用节点改为独立对象存储节点，提升测试场景的真实性与可维护性。</w:t>
      </w:r>
    </w:p>
    <w:p>
      <w:pPr>
        <w:pStyle w:val="ListBullet"/>
        <w:spacing w:after="40"/>
      </w:pPr>
      <w:r>
        <w:t>生产环境 MinIO 从 2 节点提升为 4 节点分布式集群，每节点建议 8 vCPU / 32GB 内存 / 240GB SSD 系统盘 + 4 x 4TB HDD 数据盘。</w:t>
      </w:r>
    </w:p>
    <w:p>
      <w:pPr>
        <w:pStyle w:val="ListBullet"/>
        <w:spacing w:after="40"/>
      </w:pPr>
      <w:r>
        <w:t>对象存储系统盘与数据盘分离，系统运行与数据存储互不干扰，便于后续维护与扩容。</w:t>
      </w:r>
    </w:p>
    <w:p>
      <w:pPr>
        <w:pStyle w:val="ListBullet"/>
        <w:spacing w:after="40"/>
      </w:pPr>
      <w:r>
        <w:t>数据盘保留机械盘是因为对象存储更适合大容量、成本可控的盘型，但业务主节点、数据库和缓存必须继续使用 SSD/NVMe，这体现了不同负载使用不同介质的设计原则。</w:t>
      </w:r>
    </w:p>
    <w:p>
      <w:pPr>
        <w:pStyle w:val="ListBullet"/>
        <w:spacing w:after="40"/>
      </w:pPr>
      <w:r>
        <w:t>MinIO Client SDK 仍作为业务服务依赖集成，不单独部署主机；文件代理则按业务入口规划接入 Nginx 或统一访问层，不再作为混乱独立项存在。</w:t>
      </w:r>
    </w:p>
    <w:p>
      <w:pPr>
        <w:pStyle w:val="Heading2"/>
      </w:pPr>
      <w:r>
        <w:rPr>
          <w:b/>
        </w:rPr>
        <w:t>6.6 监控与运维能力优化说明</w:t>
      </w:r>
    </w:p>
    <w:p>
      <w:pPr>
        <w:spacing w:after="120"/>
      </w:pPr>
      <w:r>
        <w:t>原配置中已考虑 Exporter、Nginx 文件代理等能力，但整体分散在业务节点说明里，不利于从运维视角统一观察。本次优化增加独立观测节点，是为了让监控、告警、可视化不再依附于业务服务节点，从而减少故障时“业务和监控一起受影响”的问题。</w:t>
      </w:r>
    </w:p>
    <w:p>
      <w:pPr>
        <w:pStyle w:val="ListBullet"/>
        <w:spacing w:after="40"/>
      </w:pPr>
      <w:r>
        <w:t>新增 107-bmp-obs-1 观测节点，建议 8 vCPU / 16GB / 500GB SSD，部署 Prometheus / Grafana / Alertmanager。</w:t>
      </w:r>
    </w:p>
    <w:p>
      <w:pPr>
        <w:pStyle w:val="ListBullet"/>
        <w:spacing w:after="40"/>
      </w:pPr>
      <w:r>
        <w:t>将监控能力独立后，可统一采集主服务、Worker、PostgreSQL、Redis、MinIO、Nginx 等关键指标。</w:t>
      </w:r>
    </w:p>
    <w:p>
      <w:pPr>
        <w:pStyle w:val="ListBullet"/>
        <w:spacing w:after="40"/>
      </w:pPr>
      <w:r>
        <w:t>Alertmanager 独立部署后，便于对接邮件、企业微信、短信等告警渠道，形成可操作的故障响应机制。</w:t>
      </w:r>
    </w:p>
    <w:p>
      <w:pPr>
        <w:pStyle w:val="ListBullet"/>
        <w:spacing w:after="40"/>
      </w:pPr>
      <w:r>
        <w:t>统一监控后，资源申请和容量评估也更有依据，不再依赖主观经验判断是否需要再次扩容。</w:t>
      </w:r>
    </w:p>
    <w:p>
      <w:pPr>
        <w:pStyle w:val="Heading1"/>
      </w:pPr>
      <w:r>
        <w:rPr>
          <w:b/>
        </w:rPr>
        <w:t>七、从原配置到优化后配置的核心收益</w:t>
      </w:r>
    </w:p>
    <w:p>
      <w:pPr>
        <w:pStyle w:val="ListBullet"/>
        <w:spacing w:after="40"/>
      </w:pPr>
      <w:r>
        <w:t>稳定性提升：数据库热备、Redis 三节点、MinIO 四节点使核心能力更接近生产级高可用架构。</w:t>
      </w:r>
    </w:p>
    <w:p>
      <w:pPr>
        <w:pStyle w:val="ListBullet"/>
        <w:spacing w:after="40"/>
      </w:pPr>
      <w:r>
        <w:t>性能提升：业务、数据库、缓存关键链路统一提升到 SSD/NVMe 介质，显著降低 I/O 瓶颈。</w:t>
      </w:r>
    </w:p>
    <w:p>
      <w:pPr>
        <w:pStyle w:val="ListBullet"/>
        <w:spacing w:after="40"/>
      </w:pPr>
      <w:r>
        <w:t>容量提升：主服务、Worker、数据库、对象存储都预留了更高资源上限，可更从容应对业务增长。</w:t>
      </w:r>
    </w:p>
    <w:p>
      <w:pPr>
        <w:pStyle w:val="ListBullet"/>
        <w:spacing w:after="40"/>
      </w:pPr>
      <w:r>
        <w:t>维护性提升：系统版本、Python 版本、中间件版本统一后，开发、测试、生产环境更一致，减少环境差异问题。</w:t>
      </w:r>
    </w:p>
    <w:p>
      <w:pPr>
        <w:pStyle w:val="ListBullet"/>
        <w:spacing w:after="40"/>
      </w:pPr>
      <w:r>
        <w:t>安全性提升：采用仍在支持期的软件版本，降低使用旧版本带来的安全漏洞与维护风险。</w:t>
      </w:r>
    </w:p>
    <w:p>
      <w:pPr>
        <w:pStyle w:val="ListBullet"/>
        <w:spacing w:after="40"/>
      </w:pPr>
      <w:r>
        <w:t>可观测性提升：独立监控告警节点让运维不再被动，问题能更早发现、更快定位。</w:t>
      </w:r>
    </w:p>
    <w:p>
      <w:pPr>
        <w:pStyle w:val="Heading1"/>
      </w:pPr>
      <w:r>
        <w:rPr>
          <w:b/>
        </w:rPr>
        <w:t>八、实施建议</w:t>
      </w:r>
    </w:p>
    <w:p>
      <w:pPr>
        <w:pStyle w:val="ListBullet"/>
        <w:spacing w:after="40"/>
      </w:pPr>
      <w:r>
        <w:t>优先实施基础软件版本升级和关键节点升配，先统一系统与运行时基线，再做数据和服务迁移。</w:t>
      </w:r>
    </w:p>
    <w:p>
      <w:pPr>
        <w:pStyle w:val="ListBullet"/>
        <w:spacing w:after="40"/>
      </w:pPr>
      <w:r>
        <w:t>数据库迁移建议单独制定窗口和回退方案，重点验证主从复制、备份恢复与业务兼容性。</w:t>
      </w:r>
    </w:p>
    <w:p>
      <w:pPr>
        <w:pStyle w:val="ListBullet"/>
        <w:spacing w:after="40"/>
      </w:pPr>
      <w:r>
        <w:t>Redis 与 MinIO 升级应提前完成压测和容量验证，确保客户端配置与业务访问路径一致。</w:t>
      </w:r>
    </w:p>
    <w:p>
      <w:pPr>
        <w:pStyle w:val="ListBullet"/>
        <w:spacing w:after="40"/>
      </w:pPr>
      <w:r>
        <w:t>上线前应完成一轮覆盖应用、数据库、缓存、对象存储、监控告警的联合演练。</w:t>
      </w:r>
    </w:p>
    <w:p>
      <w:pPr>
        <w:pStyle w:val="ListBullet"/>
        <w:spacing w:after="40"/>
      </w:pPr>
      <w:r>
        <w:t>建议在最终正式投产前补充网络带宽、内网链路、备份保留周期、容灾等级、RPO/RTO 等运维级指标。</w:t>
      </w:r>
    </w:p>
    <w:p>
      <w:pPr>
        <w:pStyle w:val="Heading1"/>
      </w:pPr>
      <w:r>
        <w:rPr>
          <w:b/>
        </w:rPr>
        <w:t>九、结论</w:t>
      </w:r>
    </w:p>
    <w:p>
      <w:pPr>
        <w:spacing w:after="120"/>
      </w:pPr>
      <w:r>
        <w:t>本次配置优化并非简单地“把机器配高”，而是围绕 BMP 平台的实际业务特征，对系统版本、运行时版本、业务节点规格、数据库架构、缓存架构、对象存储架构及监控体系进行了系统性增强。优化后的方案较原始方案更适合承担正式生产环境的持续运行压力，也更有利于后续扩展、运维和审计留痕。如果后续需要用于正式汇报，建议在本说明文档基础上再补充预算测算、容量预测和分阶段实施计划。</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