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附表C.1 总体技术参数与规格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主要项目</w:t>
            </w:r>
          </w:p>
        </w:tc>
        <w:tc>
          <w:tcPr>
            <w:tcW w:type="dxa" w:w="1440"/>
          </w:tcPr>
          <w:p>
            <w:r>
              <w:t>技术参数与规格</w:t>
            </w:r>
          </w:p>
        </w:tc>
        <w:tc>
          <w:tcPr>
            <w:tcW w:type="dxa" w:w="1440"/>
          </w:tcPr>
          <w:p>
            <w:r>
              <w:t>计量单位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投标机型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EW10.0-220上置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机组类型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双馈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双馈、直驱、半直驱、鼠笼、高速永磁等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单机容量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10000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kW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机组数量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[待人工补充：机组数量]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总装机容量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[待人工补充：总装机容量]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叶轮直径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220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叶片数目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轮毂中心高度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[待人工补充：轮毂中心高度]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单位千瓦扫风面积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3.80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m2/kW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认证级别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IEC 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参考风速Vref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50（背风策略）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>
              <w:t>50年一遇（10min平均值）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极端风速Ve50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70（背风）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50年一遇（3s极限风速）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轮毂高度年平均风速Vave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[待人工补充：轮毂高度年平均风速Vave]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湍流强度参考值Iref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[待人工补充：湍流强度参考值Iref]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特征湍流强度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场址空气密度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[待人工补充：场址空气密度]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保证功率曲线最优Cp值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[待人工补充：保证功率曲线最优Cp值]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保证功率曲线最优Cp对应风速区间（m/s）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[待人工补充：保证功率曲线最优Cp对应风速区间（m/s）]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切入风速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额定风速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10.7*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切出风速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23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再切入风速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[待人工补充：再切入风速]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机组设计寿命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年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风轮运行转速范围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[待人工补充：风轮运行转速范围]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风轮额定转速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rpm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叶尖速度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92.1533845053006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功率调整方式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变速变桨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紧急制动方式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空气动力制动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运行环境温度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-30~+40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℃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生存环境温度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-40~50（低温）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℃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噪音（整个风力发电机组）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符合IEC61400-11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IEC 61400-11，须满足具体项目的环保要求，并通过相关环保验收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轮毂总成重量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60±3%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type="dxa" w:w="1440"/>
          </w:tcPr>
          <w:p>
            <w:r>
              <w:t>不含叶片与叶片连接螺栓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机舱总成重量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192±3%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机舱尺寸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13.55*5*4.2（变压器、变流器及其罩壳单独运输）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</w:t>
            </w:r>
          </w:p>
        </w:tc>
        <w:tc>
          <w:tcPr>
            <w:tcW w:type="dxa" w:w="1440"/>
          </w:tcPr>
          <w:p>
            <w:r>
              <w:t>长×宽×高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机组防雷等级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按一级防雷保护设计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