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附表C.1 总体技术参数与规格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主要项目</w:t>
            </w:r>
          </w:p>
        </w:tc>
        <w:tc>
          <w:tcPr>
            <w:tcW w:type="dxa" w:w="1440"/>
          </w:tcPr>
          <w:p>
            <w:r>
              <w:t>技术参数与规格</w:t>
            </w:r>
          </w:p>
        </w:tc>
        <w:tc>
          <w:tcPr>
            <w:tcW w:type="dxa" w:w="1440"/>
          </w:tcPr>
          <w:p>
            <w:r>
              <w:t>计量单位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投标机型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机组类型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双馈、直驱、半直驱、鼠笼、高速永磁等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单机容量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机组数量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总装机容量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叶轮直径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叶片数目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轮毂中心高度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机型总体参数</w:t>
            </w:r>
          </w:p>
        </w:tc>
        <w:tc>
          <w:tcPr>
            <w:tcW w:type="dxa" w:w="1440"/>
          </w:tcPr>
          <w:p>
            <w:r>
              <w:t>单位千瓦扫风面积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认证级别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参考风速Vref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50年一遇（10min平均值）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极端风速Ve50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50年一遇（3s极限风速）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轮毂高度年平均风速Vave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机组安全设计等级（需同投标机型认证证书一致）</w:t>
            </w:r>
          </w:p>
        </w:tc>
        <w:tc>
          <w:tcPr>
            <w:tcW w:type="dxa" w:w="1440"/>
          </w:tcPr>
          <w:p>
            <w:r>
              <w:t>湍流强度参考值Iref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特征湍流强度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场址空气密度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保证功率曲线最优Cp值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保证功率曲线最优Cp对应风速区间（m/s）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切入风速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额定风速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切出风速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功率曲线参数（场址空气密度下）</w:t>
            </w:r>
          </w:p>
        </w:tc>
        <w:tc>
          <w:tcPr>
            <w:tcW w:type="dxa" w:w="1440"/>
          </w:tcPr>
          <w:p>
            <w:r>
              <w:t>再切入风速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机组设计寿命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风轮运行转速范围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风轮额定转速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叶尖速度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功率调整方式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紧急制动方式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运行环境温度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生存环境温度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噪音（整个风力发电机组）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IEC 61400-11，须满足具体项目的环保要求，并通过相关环保验收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轮毂总成重量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不含叶片与叶片连接螺栓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机舱总成重量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机舱尺寸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长×宽×高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其他总体参数</w:t>
            </w:r>
          </w:p>
        </w:tc>
        <w:tc>
          <w:tcPr>
            <w:tcW w:type="dxa" w:w="1440"/>
          </w:tcPr>
          <w:p>
            <w:r>
              <w:t>机组防雷等级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