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2BF" w:rsidRPr="00F172BF" w:rsidRDefault="00F172BF" w:rsidP="00AB6178">
      <w:pPr>
        <w:pStyle w:val="Titre1"/>
      </w:pPr>
      <w:r w:rsidRPr="00F172BF">
        <w:t>Title</w:t>
      </w:r>
    </w:p>
    <w:p w:rsidR="00F172BF" w:rsidRDefault="003E0667" w:rsidP="00AB6178">
      <w:pPr>
        <w:jc w:val="both"/>
      </w:pPr>
      <w:r>
        <w:t>REACT: Management of insecticide resistance in Burkina Faso and Côte d’Ivoire, a random, parallel with baseline, controlled trial for the e</w:t>
      </w:r>
      <w:r w:rsidR="00E52675">
        <w:t>valuation of vector control strategies complementary to LLIN in rural areas.</w:t>
      </w:r>
    </w:p>
    <w:p w:rsidR="00F172BF" w:rsidRPr="00F172BF" w:rsidRDefault="00F172BF" w:rsidP="00AB6178">
      <w:pPr>
        <w:pStyle w:val="Titre1"/>
      </w:pPr>
      <w:r w:rsidRPr="00F172BF">
        <w:t>Names protocol contributors</w:t>
      </w:r>
    </w:p>
    <w:p w:rsidR="00E52675" w:rsidRPr="00E52675" w:rsidRDefault="00E52675" w:rsidP="00E52675">
      <w:pPr>
        <w:jc w:val="both"/>
        <w:rPr>
          <w:color w:val="000000" w:themeColor="text1"/>
        </w:rPr>
      </w:pPr>
      <w:proofErr w:type="spellStart"/>
      <w:r>
        <w:t>Moiroux</w:t>
      </w:r>
      <w:proofErr w:type="spellEnd"/>
      <w:r>
        <w:t xml:space="preserve"> Nicolas, </w:t>
      </w:r>
      <w:proofErr w:type="spellStart"/>
      <w:r>
        <w:t>Zongo</w:t>
      </w:r>
      <w:proofErr w:type="spellEnd"/>
      <w:r>
        <w:t xml:space="preserve"> </w:t>
      </w:r>
      <w:proofErr w:type="spellStart"/>
      <w:r>
        <w:t>Issaka</w:t>
      </w:r>
      <w:proofErr w:type="spellEnd"/>
      <w:r>
        <w:t xml:space="preserve">, </w:t>
      </w:r>
      <w:proofErr w:type="spellStart"/>
      <w:r>
        <w:t>Assi</w:t>
      </w:r>
      <w:proofErr w:type="spellEnd"/>
      <w:r>
        <w:t xml:space="preserve"> Serge-Brice, </w:t>
      </w:r>
      <w:proofErr w:type="spellStart"/>
      <w:r>
        <w:t>Mouline</w:t>
      </w:r>
      <w:proofErr w:type="spellEnd"/>
      <w:r>
        <w:t xml:space="preserve"> </w:t>
      </w:r>
      <w:proofErr w:type="spellStart"/>
      <w:r>
        <w:t>Karine</w:t>
      </w:r>
      <w:proofErr w:type="spellEnd"/>
      <w:r>
        <w:t>,</w:t>
      </w:r>
      <w:r>
        <w:rPr>
          <w:color w:val="000000" w:themeColor="text1"/>
        </w:rPr>
        <w:t xml:space="preserve"> </w:t>
      </w:r>
      <w:proofErr w:type="spellStart"/>
      <w:r>
        <w:rPr>
          <w:color w:val="000000" w:themeColor="text1"/>
        </w:rPr>
        <w:t>Koffi</w:t>
      </w:r>
      <w:proofErr w:type="spellEnd"/>
      <w:r>
        <w:rPr>
          <w:color w:val="000000" w:themeColor="text1"/>
        </w:rPr>
        <w:t xml:space="preserve"> </w:t>
      </w:r>
      <w:proofErr w:type="spellStart"/>
      <w:r>
        <w:rPr>
          <w:color w:val="000000" w:themeColor="text1"/>
        </w:rPr>
        <w:t>Amanan</w:t>
      </w:r>
      <w:proofErr w:type="spellEnd"/>
      <w:r>
        <w:rPr>
          <w:color w:val="000000" w:themeColor="text1"/>
        </w:rPr>
        <w:t xml:space="preserve"> </w:t>
      </w:r>
      <w:proofErr w:type="spellStart"/>
      <w:r>
        <w:rPr>
          <w:color w:val="000000" w:themeColor="text1"/>
        </w:rPr>
        <w:t>Alphonsine</w:t>
      </w:r>
      <w:proofErr w:type="spellEnd"/>
      <w:r>
        <w:rPr>
          <w:color w:val="000000" w:themeColor="text1"/>
        </w:rPr>
        <w:t xml:space="preserve">, </w:t>
      </w:r>
      <w:proofErr w:type="spellStart"/>
      <w:r>
        <w:rPr>
          <w:color w:val="000000" w:themeColor="text1"/>
        </w:rPr>
        <w:t>Dabiré</w:t>
      </w:r>
      <w:proofErr w:type="spellEnd"/>
      <w:r>
        <w:rPr>
          <w:color w:val="000000" w:themeColor="text1"/>
        </w:rPr>
        <w:t xml:space="preserve"> </w:t>
      </w:r>
      <w:proofErr w:type="spellStart"/>
      <w:r>
        <w:rPr>
          <w:color w:val="000000" w:themeColor="text1"/>
        </w:rPr>
        <w:t>Kounbobr</w:t>
      </w:r>
      <w:proofErr w:type="spellEnd"/>
      <w:r>
        <w:rPr>
          <w:color w:val="000000" w:themeColor="text1"/>
        </w:rPr>
        <w:t xml:space="preserve"> </w:t>
      </w:r>
      <w:proofErr w:type="spellStart"/>
      <w:r>
        <w:rPr>
          <w:color w:val="000000" w:themeColor="text1"/>
        </w:rPr>
        <w:t>Roch</w:t>
      </w:r>
      <w:proofErr w:type="spellEnd"/>
      <w:r>
        <w:rPr>
          <w:color w:val="000000" w:themeColor="text1"/>
        </w:rPr>
        <w:t xml:space="preserve">, </w:t>
      </w:r>
      <w:proofErr w:type="spellStart"/>
      <w:r>
        <w:rPr>
          <w:color w:val="000000" w:themeColor="text1"/>
        </w:rPr>
        <w:t>Pennetier</w:t>
      </w:r>
      <w:proofErr w:type="spellEnd"/>
      <w:r>
        <w:rPr>
          <w:color w:val="000000" w:themeColor="text1"/>
        </w:rPr>
        <w:t xml:space="preserve"> </w:t>
      </w:r>
      <w:proofErr w:type="spellStart"/>
      <w:r>
        <w:rPr>
          <w:color w:val="000000" w:themeColor="text1"/>
        </w:rPr>
        <w:t>Cédric</w:t>
      </w:r>
      <w:proofErr w:type="spellEnd"/>
      <w:r>
        <w:rPr>
          <w:vertAlign w:val="superscript"/>
        </w:rPr>
        <w:t xml:space="preserve"> </w:t>
      </w:r>
      <w:r>
        <w:rPr>
          <w:color w:val="000000" w:themeColor="text1"/>
        </w:rPr>
        <w:t xml:space="preserve">and the project </w:t>
      </w:r>
      <w:r w:rsidR="00A1500C">
        <w:rPr>
          <w:color w:val="000000" w:themeColor="text1"/>
        </w:rPr>
        <w:t>external advisory board*</w:t>
      </w:r>
    </w:p>
    <w:p w:rsidR="003E0667" w:rsidRDefault="00A1500C" w:rsidP="00AB6178">
      <w:r>
        <w:t xml:space="preserve">*Thierry </w:t>
      </w:r>
      <w:proofErr w:type="spellStart"/>
      <w:r>
        <w:t>Baldet</w:t>
      </w:r>
      <w:proofErr w:type="spellEnd"/>
      <w:r>
        <w:t xml:space="preserve">, </w:t>
      </w:r>
      <w:proofErr w:type="spellStart"/>
      <w:r>
        <w:t>Armel</w:t>
      </w:r>
      <w:proofErr w:type="spellEnd"/>
      <w:r>
        <w:t xml:space="preserve"> </w:t>
      </w:r>
      <w:proofErr w:type="spellStart"/>
      <w:r>
        <w:t>Djenontin</w:t>
      </w:r>
      <w:proofErr w:type="spellEnd"/>
      <w:r>
        <w:t xml:space="preserve">, Christophe </w:t>
      </w:r>
      <w:proofErr w:type="spellStart"/>
      <w:r>
        <w:t>Rogier</w:t>
      </w:r>
      <w:proofErr w:type="spellEnd"/>
      <w:r>
        <w:t xml:space="preserve">, </w:t>
      </w:r>
      <w:proofErr w:type="spellStart"/>
      <w:r>
        <w:t>Frédéric</w:t>
      </w:r>
      <w:proofErr w:type="spellEnd"/>
      <w:r>
        <w:t xml:space="preserve"> </w:t>
      </w:r>
      <w:proofErr w:type="spellStart"/>
      <w:r>
        <w:t>Simard</w:t>
      </w:r>
      <w:proofErr w:type="spellEnd"/>
      <w:r>
        <w:t xml:space="preserve">, </w:t>
      </w:r>
      <w:proofErr w:type="spellStart"/>
      <w:r>
        <w:t>Sylvin</w:t>
      </w:r>
      <w:proofErr w:type="spellEnd"/>
      <w:r>
        <w:t xml:space="preserve"> </w:t>
      </w:r>
      <w:proofErr w:type="spellStart"/>
      <w:r>
        <w:t>Ouedraogo</w:t>
      </w:r>
      <w:proofErr w:type="spellEnd"/>
      <w:r>
        <w:t>, Colette Yah</w:t>
      </w:r>
      <w:r w:rsidR="00AF3172" w:rsidRPr="00AF3172">
        <w:t>.</w:t>
      </w:r>
    </w:p>
    <w:p w:rsidR="00F172BF" w:rsidRPr="00F172BF" w:rsidRDefault="00F172BF" w:rsidP="00AB6178">
      <w:pPr>
        <w:pStyle w:val="Titre1"/>
      </w:pPr>
      <w:r w:rsidRPr="00F172BF">
        <w:br/>
        <w:t>Administrative information</w:t>
      </w:r>
    </w:p>
    <w:tbl>
      <w:tblPr>
        <w:tblStyle w:val="Grilledutableau"/>
        <w:tblW w:w="0" w:type="auto"/>
        <w:tblLook w:val="04A0" w:firstRow="1" w:lastRow="0" w:firstColumn="1" w:lastColumn="0" w:noHBand="0" w:noVBand="1"/>
      </w:tblPr>
      <w:tblGrid>
        <w:gridCol w:w="3114"/>
        <w:gridCol w:w="6282"/>
      </w:tblGrid>
      <w:tr w:rsidR="00AB6178" w:rsidTr="00AB6178">
        <w:tc>
          <w:tcPr>
            <w:tcW w:w="3114" w:type="dxa"/>
            <w:vAlign w:val="center"/>
          </w:tcPr>
          <w:p w:rsidR="00AB6178" w:rsidRPr="00F172BF" w:rsidRDefault="00AB6178" w:rsidP="00AB6178">
            <w:r>
              <w:t>Title</w:t>
            </w:r>
          </w:p>
        </w:tc>
        <w:tc>
          <w:tcPr>
            <w:tcW w:w="6282" w:type="dxa"/>
            <w:vAlign w:val="center"/>
          </w:tcPr>
          <w:p w:rsidR="00AB6178" w:rsidRPr="00F172BF" w:rsidRDefault="00AB6178" w:rsidP="00AB6178">
            <w:r>
              <w:t>REACT: Management of insecticide resistance in Burkina Faso and Côte d’Ivoire, a random, parallel with baseline, controlled trial for the evaluation of vector control strategies complementary to LLIN in rural areas.</w:t>
            </w:r>
          </w:p>
        </w:tc>
      </w:tr>
      <w:tr w:rsidR="00AB6178" w:rsidTr="00AB6178">
        <w:tc>
          <w:tcPr>
            <w:tcW w:w="3114" w:type="dxa"/>
            <w:vAlign w:val="center"/>
          </w:tcPr>
          <w:p w:rsidR="00AB6178" w:rsidRPr="00F172BF" w:rsidRDefault="00AB6178" w:rsidP="00AB6178">
            <w:r w:rsidRPr="00F172BF">
              <w:t>Trial registration</w:t>
            </w:r>
          </w:p>
        </w:tc>
        <w:tc>
          <w:tcPr>
            <w:tcW w:w="6282" w:type="dxa"/>
            <w:vAlign w:val="center"/>
          </w:tcPr>
          <w:p w:rsidR="00AB6178" w:rsidRPr="00F172BF" w:rsidRDefault="00AB6178" w:rsidP="00AB6178">
            <w:r>
              <w:t>ClinicalTrial.gov, number NCT03074435</w:t>
            </w:r>
          </w:p>
          <w:p w:rsidR="00AB6178" w:rsidRPr="00F172BF" w:rsidRDefault="00AB6178" w:rsidP="00AB6178"/>
        </w:tc>
      </w:tr>
      <w:tr w:rsidR="00AB6178" w:rsidTr="00AB6178">
        <w:tc>
          <w:tcPr>
            <w:tcW w:w="3114" w:type="dxa"/>
            <w:vAlign w:val="center"/>
          </w:tcPr>
          <w:p w:rsidR="00AB6178" w:rsidRPr="00F172BF" w:rsidRDefault="00AB6178" w:rsidP="00AB6178">
            <w:r>
              <w:t>Protocol version</w:t>
            </w:r>
          </w:p>
        </w:tc>
        <w:tc>
          <w:tcPr>
            <w:tcW w:w="6282" w:type="dxa"/>
            <w:vAlign w:val="center"/>
          </w:tcPr>
          <w:p w:rsidR="00AB6178" w:rsidRPr="00F172BF" w:rsidRDefault="00AB6178" w:rsidP="00AB6178">
            <w:r>
              <w:t>Version 2, 2017-06 (Changes from version 1 are described in the main text)</w:t>
            </w:r>
          </w:p>
        </w:tc>
      </w:tr>
      <w:tr w:rsidR="00AB6178" w:rsidTr="00AB6178">
        <w:tc>
          <w:tcPr>
            <w:tcW w:w="3114" w:type="dxa"/>
            <w:vAlign w:val="center"/>
          </w:tcPr>
          <w:p w:rsidR="00AB6178" w:rsidRPr="00F172BF" w:rsidRDefault="00AB6178" w:rsidP="00AB6178">
            <w:r>
              <w:t>Funding</w:t>
            </w:r>
          </w:p>
        </w:tc>
        <w:tc>
          <w:tcPr>
            <w:tcW w:w="6282" w:type="dxa"/>
            <w:vAlign w:val="center"/>
          </w:tcPr>
          <w:p w:rsidR="00AB6178" w:rsidRPr="00F172BF" w:rsidRDefault="00AB6178" w:rsidP="00AB6178">
            <w:r>
              <w:t>Initiative 5% grant (project REACT; No. 15SANIN213) from Expertise France.</w:t>
            </w:r>
          </w:p>
        </w:tc>
      </w:tr>
      <w:tr w:rsidR="00AB6178" w:rsidTr="00AB6178">
        <w:tc>
          <w:tcPr>
            <w:tcW w:w="3114" w:type="dxa"/>
            <w:vAlign w:val="center"/>
          </w:tcPr>
          <w:p w:rsidR="00AB6178" w:rsidRPr="00F172BF" w:rsidRDefault="00AB6178" w:rsidP="00AB6178">
            <w:r>
              <w:t>Author details</w:t>
            </w:r>
          </w:p>
        </w:tc>
        <w:tc>
          <w:tcPr>
            <w:tcW w:w="6282" w:type="dxa"/>
            <w:vAlign w:val="center"/>
          </w:tcPr>
          <w:p w:rsidR="00AB6178" w:rsidRPr="00F172BF" w:rsidRDefault="00AB6178" w:rsidP="00AB6178">
            <w:r>
              <w:t>NM, KAA, DKB and CP conceived of the study and initiated the study design. IZ, SBA and KM helped in initiated the study design. NM, and CP are grant holder. External advisory board (CR) and NM provided statistical expertise. All authors and members of the external advisory board contribute to design updates.</w:t>
            </w:r>
            <w:r>
              <w:rPr>
                <w:vertAlign w:val="superscript"/>
              </w:rPr>
              <w:t xml:space="preserve"> </w:t>
            </w:r>
          </w:p>
        </w:tc>
      </w:tr>
      <w:tr w:rsidR="00AB6178" w:rsidTr="00AB6178">
        <w:tc>
          <w:tcPr>
            <w:tcW w:w="3114" w:type="dxa"/>
            <w:vAlign w:val="center"/>
          </w:tcPr>
          <w:p w:rsidR="00AB6178" w:rsidRPr="00F172BF" w:rsidRDefault="00AB6178" w:rsidP="00AB6178">
            <w:r w:rsidRPr="00F172BF">
              <w:t>Name and contact inform</w:t>
            </w:r>
            <w:r>
              <w:t>ation for the trial sponsor</w:t>
            </w:r>
          </w:p>
        </w:tc>
        <w:tc>
          <w:tcPr>
            <w:tcW w:w="6282" w:type="dxa"/>
            <w:vAlign w:val="center"/>
          </w:tcPr>
          <w:p w:rsidR="00AF3172" w:rsidRDefault="00AF3172" w:rsidP="00AF3172">
            <w:r>
              <w:t xml:space="preserve">Isabelle </w:t>
            </w:r>
            <w:proofErr w:type="spellStart"/>
            <w:r>
              <w:t>Cartoux</w:t>
            </w:r>
            <w:proofErr w:type="spellEnd"/>
            <w:r>
              <w:t>, Project Manager</w:t>
            </w:r>
          </w:p>
          <w:p w:rsidR="00AF3172" w:rsidRDefault="00AF3172" w:rsidP="00AF3172">
            <w:r>
              <w:t>Health Department</w:t>
            </w:r>
          </w:p>
          <w:p w:rsidR="00AF3172" w:rsidRDefault="00AF3172" w:rsidP="00AF3172">
            <w:r>
              <w:t>5% Initiative for HIV, TB and Malaria</w:t>
            </w:r>
          </w:p>
          <w:p w:rsidR="00AF3172" w:rsidRDefault="00AF3172" w:rsidP="00AF3172">
            <w:proofErr w:type="spellStart"/>
            <w:r>
              <w:t>Tél</w:t>
            </w:r>
            <w:proofErr w:type="spellEnd"/>
            <w:r>
              <w:t>. : +33 (0)1 70 82 74 38</w:t>
            </w:r>
          </w:p>
          <w:p w:rsidR="00AB6178" w:rsidRPr="00F172BF" w:rsidRDefault="00AF3172" w:rsidP="00AF3172">
            <w:r>
              <w:t xml:space="preserve">73, rue de </w:t>
            </w:r>
            <w:proofErr w:type="spellStart"/>
            <w:r>
              <w:t>Vaugirard</w:t>
            </w:r>
            <w:proofErr w:type="spellEnd"/>
            <w:r>
              <w:t xml:space="preserve"> – 75006 Paris</w:t>
            </w:r>
          </w:p>
        </w:tc>
      </w:tr>
      <w:tr w:rsidR="00AB6178" w:rsidTr="00AB6178">
        <w:tc>
          <w:tcPr>
            <w:tcW w:w="3114" w:type="dxa"/>
            <w:vAlign w:val="center"/>
          </w:tcPr>
          <w:p w:rsidR="00AB6178" w:rsidRPr="00F172BF" w:rsidRDefault="00AB6178" w:rsidP="00AB6178">
            <w:r>
              <w:t>Role of sponsor</w:t>
            </w:r>
          </w:p>
        </w:tc>
        <w:tc>
          <w:tcPr>
            <w:tcW w:w="6282" w:type="dxa"/>
            <w:vAlign w:val="center"/>
          </w:tcPr>
          <w:p w:rsidR="00AB6178" w:rsidRPr="000709F2" w:rsidRDefault="00AB6178" w:rsidP="00AB6178">
            <w:r>
              <w:t>The funder had no role in study design, data collection, data analysis, data interpretation, or writing of the report.</w:t>
            </w:r>
          </w:p>
        </w:tc>
      </w:tr>
    </w:tbl>
    <w:p w:rsidR="00AB6178" w:rsidRPr="00F172BF" w:rsidRDefault="00AB6178" w:rsidP="00F172BF">
      <w:pPr>
        <w:spacing w:before="100" w:beforeAutospacing="1" w:after="100" w:afterAutospacing="1" w:line="240" w:lineRule="auto"/>
        <w:rPr>
          <w:rFonts w:ascii="Times New Roman" w:eastAsia="Times New Roman" w:hAnsi="Times New Roman" w:cs="Times New Roman"/>
          <w:sz w:val="24"/>
          <w:szCs w:val="24"/>
        </w:rPr>
      </w:pPr>
    </w:p>
    <w:p w:rsidR="00AB6178" w:rsidRDefault="00AB6178">
      <w:pPr>
        <w:rPr>
          <w:rFonts w:ascii="Arial" w:eastAsia="Times New Roman" w:hAnsi="Arial" w:cs="Times New Roman"/>
          <w:b/>
          <w:bCs/>
          <w:kern w:val="36"/>
          <w:sz w:val="40"/>
          <w:szCs w:val="48"/>
        </w:rPr>
      </w:pPr>
      <w:r>
        <w:br w:type="page"/>
      </w:r>
    </w:p>
    <w:p w:rsidR="00F172BF" w:rsidRPr="00702248" w:rsidRDefault="00F172BF" w:rsidP="00702248">
      <w:pPr>
        <w:pStyle w:val="Titre1"/>
      </w:pPr>
      <w:r w:rsidRPr="00702248">
        <w:lastRenderedPageBreak/>
        <w:t>Introduction</w:t>
      </w:r>
    </w:p>
    <w:p w:rsidR="00F172BF" w:rsidRDefault="00F92B70" w:rsidP="00702248">
      <w:pPr>
        <w:pStyle w:val="Titre2"/>
        <w:rPr>
          <w:rFonts w:eastAsia="Times New Roman"/>
        </w:rPr>
      </w:pPr>
      <w:r>
        <w:rPr>
          <w:rFonts w:eastAsia="Times New Roman"/>
        </w:rPr>
        <w:t>Backgro</w:t>
      </w:r>
      <w:r w:rsidR="00065CAC">
        <w:rPr>
          <w:rFonts w:eastAsia="Times New Roman"/>
        </w:rPr>
        <w:t>und and rationale [this is an AI</w:t>
      </w:r>
      <w:r>
        <w:rPr>
          <w:rFonts w:eastAsia="Times New Roman"/>
        </w:rPr>
        <w:t>-generated translation from French]</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Malaria control currently faces the challenge of emerging and expanding resistance to the main available tools, both curative (drugs) and preventive (vector control). The operational research project proposed here focuses on insecticide resistance and vector control (VC).</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VC, which mainly relies on the widespread distribution of long-lasting insecticide-treated nets (LLINs), contributes to reducing malaria transmission. However, the significant progress achieved over the past decade is threatened by the development of resistance, particularly the resistance of Anopheles vectors to pyrethroids, the only insecticides authorized for net treatment.</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Insecticide resistance can be defined as any behavioral or physiological mechanism that prevents or limits the interaction of the insecticide with its physiological target. These resistance mechanisms fall into two categories: (1) behavioral resistance, where vectors, through changes in behavior, avoid contact with the insecticide, and (2) physiological resistance, where, in cases of contact, resistance mechanisms limit insecticide penetration, enable its excretion, its degradation, or modify its target.</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 xml:space="preserve">The best-known and most studied resistance mechanisms are physiological, including target mutations (such as </w:t>
      </w:r>
      <w:proofErr w:type="spellStart"/>
      <w:r w:rsidRPr="005838ED">
        <w:rPr>
          <w:rFonts w:eastAsia="Times New Roman" w:cs="Times New Roman"/>
        </w:rPr>
        <w:t>Kdr</w:t>
      </w:r>
      <w:proofErr w:type="spellEnd"/>
      <w:r w:rsidRPr="005838ED">
        <w:rPr>
          <w:rFonts w:eastAsia="Times New Roman" w:cs="Times New Roman"/>
        </w:rPr>
        <w:t xml:space="preserve"> and Ace-1 mutations) (</w:t>
      </w:r>
      <w:proofErr w:type="spellStart"/>
      <w:r w:rsidRPr="005838ED">
        <w:rPr>
          <w:rFonts w:eastAsia="Times New Roman" w:cs="Times New Roman"/>
        </w:rPr>
        <w:t>Ranson</w:t>
      </w:r>
      <w:proofErr w:type="spellEnd"/>
      <w:r w:rsidRPr="005838ED">
        <w:rPr>
          <w:rFonts w:eastAsia="Times New Roman" w:cs="Times New Roman"/>
        </w:rPr>
        <w:t xml:space="preserve"> et al. 2011) and enzymatic detoxification processes (oxidases, </w:t>
      </w:r>
      <w:proofErr w:type="spellStart"/>
      <w:r w:rsidRPr="005838ED">
        <w:rPr>
          <w:rFonts w:eastAsia="Times New Roman" w:cs="Times New Roman"/>
        </w:rPr>
        <w:t>esterases</w:t>
      </w:r>
      <w:proofErr w:type="spellEnd"/>
      <w:r w:rsidRPr="005838ED">
        <w:rPr>
          <w:rFonts w:eastAsia="Times New Roman" w:cs="Times New Roman"/>
        </w:rPr>
        <w:t>, glutathione-S-</w:t>
      </w:r>
      <w:proofErr w:type="spellStart"/>
      <w:r w:rsidRPr="005838ED">
        <w:rPr>
          <w:rFonts w:eastAsia="Times New Roman" w:cs="Times New Roman"/>
        </w:rPr>
        <w:t>transferases</w:t>
      </w:r>
      <w:proofErr w:type="spellEnd"/>
      <w:r w:rsidRPr="005838ED">
        <w:rPr>
          <w:rFonts w:eastAsia="Times New Roman" w:cs="Times New Roman"/>
        </w:rPr>
        <w:t xml:space="preserve">) (Hemingway &amp; </w:t>
      </w:r>
      <w:proofErr w:type="spellStart"/>
      <w:r w:rsidRPr="005838ED">
        <w:rPr>
          <w:rFonts w:eastAsia="Times New Roman" w:cs="Times New Roman"/>
        </w:rPr>
        <w:t>Ranson</w:t>
      </w:r>
      <w:proofErr w:type="spellEnd"/>
      <w:r w:rsidRPr="005838ED">
        <w:rPr>
          <w:rFonts w:eastAsia="Times New Roman" w:cs="Times New Roman"/>
        </w:rPr>
        <w:t xml:space="preserve"> 2000). These physiological resistance mechanisms confer mosquitoes the ability to withstand exposure to insecticides used in nets and indoor residual spraying. This advantage allows resistant mosquitoes to survive better and rapidly invade populations of susceptible mosquitoes. Today, this problem of insecticide resistance affects nearly all mosquito populations studied in Burkina Faso (A. </w:t>
      </w:r>
      <w:proofErr w:type="spellStart"/>
      <w:r w:rsidRPr="005838ED">
        <w:rPr>
          <w:rFonts w:eastAsia="Times New Roman" w:cs="Times New Roman"/>
        </w:rPr>
        <w:t>Diabate</w:t>
      </w:r>
      <w:proofErr w:type="spellEnd"/>
      <w:r w:rsidRPr="005838ED">
        <w:rPr>
          <w:rFonts w:eastAsia="Times New Roman" w:cs="Times New Roman"/>
        </w:rPr>
        <w:t xml:space="preserve"> 2004; </w:t>
      </w:r>
      <w:proofErr w:type="spellStart"/>
      <w:r w:rsidRPr="005838ED">
        <w:rPr>
          <w:rFonts w:eastAsia="Times New Roman" w:cs="Times New Roman"/>
        </w:rPr>
        <w:t>Dabire</w:t>
      </w:r>
      <w:proofErr w:type="spellEnd"/>
      <w:r w:rsidRPr="005838ED">
        <w:rPr>
          <w:rFonts w:eastAsia="Times New Roman" w:cs="Times New Roman"/>
        </w:rPr>
        <w:t xml:space="preserve"> et al. 2008; </w:t>
      </w:r>
      <w:proofErr w:type="spellStart"/>
      <w:r w:rsidRPr="005838ED">
        <w:rPr>
          <w:rFonts w:eastAsia="Times New Roman" w:cs="Times New Roman"/>
        </w:rPr>
        <w:t>Namountougou</w:t>
      </w:r>
      <w:proofErr w:type="spellEnd"/>
      <w:r w:rsidRPr="005838ED">
        <w:rPr>
          <w:rFonts w:eastAsia="Times New Roman" w:cs="Times New Roman"/>
        </w:rPr>
        <w:t xml:space="preserve"> et al. 2012, 2013; </w:t>
      </w:r>
      <w:proofErr w:type="spellStart"/>
      <w:r w:rsidRPr="005838ED">
        <w:rPr>
          <w:rFonts w:eastAsia="Times New Roman" w:cs="Times New Roman"/>
        </w:rPr>
        <w:t>Dabiré</w:t>
      </w:r>
      <w:proofErr w:type="spellEnd"/>
      <w:r w:rsidRPr="005838ED">
        <w:rPr>
          <w:rFonts w:eastAsia="Times New Roman" w:cs="Times New Roman"/>
        </w:rPr>
        <w:t xml:space="preserve"> et al. 2014; </w:t>
      </w:r>
      <w:proofErr w:type="spellStart"/>
      <w:r w:rsidRPr="005838ED">
        <w:rPr>
          <w:rFonts w:eastAsia="Times New Roman" w:cs="Times New Roman"/>
        </w:rPr>
        <w:t>Toé</w:t>
      </w:r>
      <w:proofErr w:type="spellEnd"/>
      <w:r w:rsidRPr="005838ED">
        <w:rPr>
          <w:rFonts w:eastAsia="Times New Roman" w:cs="Times New Roman"/>
        </w:rPr>
        <w:t xml:space="preserve"> et al. 2014, 2015), in Côte d'Ivoire (</w:t>
      </w:r>
      <w:proofErr w:type="spellStart"/>
      <w:r w:rsidRPr="005838ED">
        <w:rPr>
          <w:rFonts w:eastAsia="Times New Roman" w:cs="Times New Roman"/>
        </w:rPr>
        <w:t>Koffi</w:t>
      </w:r>
      <w:proofErr w:type="spellEnd"/>
      <w:r w:rsidRPr="005838ED">
        <w:rPr>
          <w:rFonts w:eastAsia="Times New Roman" w:cs="Times New Roman"/>
        </w:rPr>
        <w:t xml:space="preserve"> et al. 2012, 2013a</w:t>
      </w:r>
      <w:proofErr w:type="gramStart"/>
      <w:r w:rsidRPr="005838ED">
        <w:rPr>
          <w:rFonts w:eastAsia="Times New Roman" w:cs="Times New Roman"/>
        </w:rPr>
        <w:t>,b</w:t>
      </w:r>
      <w:proofErr w:type="gramEnd"/>
      <w:r w:rsidRPr="005838ED">
        <w:rPr>
          <w:rFonts w:eastAsia="Times New Roman" w:cs="Times New Roman"/>
        </w:rPr>
        <w:t xml:space="preserve">; Edi et al. 2012, 2014), and across the West African </w:t>
      </w:r>
      <w:proofErr w:type="spellStart"/>
      <w:r w:rsidRPr="005838ED">
        <w:rPr>
          <w:rFonts w:eastAsia="Times New Roman" w:cs="Times New Roman"/>
        </w:rPr>
        <w:t>subregion</w:t>
      </w:r>
      <w:proofErr w:type="spellEnd"/>
      <w:r w:rsidRPr="005838ED">
        <w:rPr>
          <w:rFonts w:eastAsia="Times New Roman" w:cs="Times New Roman"/>
        </w:rPr>
        <w:t xml:space="preserve"> (</w:t>
      </w:r>
      <w:proofErr w:type="spellStart"/>
      <w:r w:rsidRPr="005838ED">
        <w:rPr>
          <w:rFonts w:eastAsia="Times New Roman" w:cs="Times New Roman"/>
        </w:rPr>
        <w:t>Ranson</w:t>
      </w:r>
      <w:proofErr w:type="spellEnd"/>
      <w:r w:rsidRPr="005838ED">
        <w:rPr>
          <w:rFonts w:eastAsia="Times New Roman" w:cs="Times New Roman"/>
        </w:rPr>
        <w:t xml:space="preserve"> et al. 2011), posing a serious threat to the effectiveness of vector control and public health.</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 xml:space="preserve">Behavioral resistance mechanisms, on the other hand, have been less studied. These are behaviors selected or induced by the deployment of VC tools, which allow vector mosquitoes to avoid contact with treated surfaces. Such avoidance results from several behaviors, such as increased </w:t>
      </w:r>
      <w:proofErr w:type="spellStart"/>
      <w:r w:rsidRPr="005838ED">
        <w:rPr>
          <w:rFonts w:eastAsia="Times New Roman" w:cs="Times New Roman"/>
        </w:rPr>
        <w:t>exophagy</w:t>
      </w:r>
      <w:proofErr w:type="spellEnd"/>
      <w:r w:rsidRPr="005838ED">
        <w:rPr>
          <w:rFonts w:eastAsia="Times New Roman" w:cs="Times New Roman"/>
        </w:rPr>
        <w:t xml:space="preserve"> (biting outside of homes), partial </w:t>
      </w:r>
      <w:proofErr w:type="spellStart"/>
      <w:r w:rsidRPr="005838ED">
        <w:rPr>
          <w:rFonts w:eastAsia="Times New Roman" w:cs="Times New Roman"/>
        </w:rPr>
        <w:t>zoophagy</w:t>
      </w:r>
      <w:proofErr w:type="spellEnd"/>
      <w:r w:rsidRPr="005838ED">
        <w:rPr>
          <w:rFonts w:eastAsia="Times New Roman" w:cs="Times New Roman"/>
        </w:rPr>
        <w:t xml:space="preserve"> (taking some blood meals from animals), and early or late activity (biting at times when people are not yet or no longer protected by LLINs). Although studies are limited, all these mechanisms have already been observed in West Africa (</w:t>
      </w:r>
      <w:proofErr w:type="spellStart"/>
      <w:r w:rsidRPr="005838ED">
        <w:rPr>
          <w:rFonts w:eastAsia="Times New Roman" w:cs="Times New Roman"/>
        </w:rPr>
        <w:t>Lefevre</w:t>
      </w:r>
      <w:proofErr w:type="spellEnd"/>
      <w:r w:rsidRPr="005838ED">
        <w:rPr>
          <w:rFonts w:eastAsia="Times New Roman" w:cs="Times New Roman"/>
        </w:rPr>
        <w:t xml:space="preserve"> et al. 2009; </w:t>
      </w:r>
      <w:proofErr w:type="spellStart"/>
      <w:r w:rsidRPr="005838ED">
        <w:rPr>
          <w:rFonts w:eastAsia="Times New Roman" w:cs="Times New Roman"/>
        </w:rPr>
        <w:t>Moiroux</w:t>
      </w:r>
      <w:proofErr w:type="spellEnd"/>
      <w:r w:rsidRPr="005838ED">
        <w:rPr>
          <w:rFonts w:eastAsia="Times New Roman" w:cs="Times New Roman"/>
        </w:rPr>
        <w:t xml:space="preserve"> et al. 2012; </w:t>
      </w:r>
      <w:proofErr w:type="spellStart"/>
      <w:r w:rsidRPr="005838ED">
        <w:rPr>
          <w:rFonts w:eastAsia="Times New Roman" w:cs="Times New Roman"/>
        </w:rPr>
        <w:t>Ndiath</w:t>
      </w:r>
      <w:proofErr w:type="spellEnd"/>
      <w:r w:rsidRPr="005838ED">
        <w:rPr>
          <w:rFonts w:eastAsia="Times New Roman" w:cs="Times New Roman"/>
        </w:rPr>
        <w:t xml:space="preserve"> et al. 2014).</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Although the epidemiological impact of this physiological and behavioral resistance is still difficult to quantify, it is crucial to propose integrated control strategies to limit the spread of these resistance mechanisms and maintain the effectiveness of vector control.</w:t>
      </w:r>
    </w:p>
    <w:p w:rsidR="00F92B70" w:rsidRPr="005838ED" w:rsidRDefault="00F92B70" w:rsidP="00F92B70">
      <w:pPr>
        <w:spacing w:before="100" w:beforeAutospacing="1" w:after="100" w:afterAutospacing="1" w:line="240" w:lineRule="auto"/>
        <w:jc w:val="both"/>
        <w:rPr>
          <w:rFonts w:eastAsia="Times New Roman" w:cs="Times New Roman"/>
        </w:rPr>
      </w:pPr>
      <w:r w:rsidRPr="005838ED">
        <w:rPr>
          <w:rFonts w:eastAsia="Times New Roman" w:cs="Times New Roman"/>
        </w:rPr>
        <w:t>Currently, complementary tools to LLINs are being offered to national control programs or are under development. Some are already part of the control perspectives in the strategic plans for the coming years (see the Burkinabe and Ivorian strategic plans) and are or will be subject to funding requests to the Global Fund (GF) or sub-regional organizations such as UEMOA.</w:t>
      </w:r>
    </w:p>
    <w:p w:rsidR="00F172BF" w:rsidRPr="00F172BF" w:rsidRDefault="00F172BF" w:rsidP="005838ED">
      <w:pPr>
        <w:pStyle w:val="Titre2"/>
        <w:rPr>
          <w:rFonts w:eastAsia="Times New Roman"/>
        </w:rPr>
      </w:pPr>
      <w:r w:rsidRPr="00F172BF">
        <w:rPr>
          <w:rFonts w:eastAsia="Times New Roman"/>
        </w:rPr>
        <w:lastRenderedPageBreak/>
        <w:br/>
      </w:r>
      <w:r w:rsidR="00E96324">
        <w:rPr>
          <w:rFonts w:eastAsia="Times New Roman"/>
        </w:rPr>
        <w:t>Objectives</w:t>
      </w:r>
    </w:p>
    <w:p w:rsidR="00F92B70" w:rsidRDefault="00F92B70" w:rsidP="00F92B70">
      <w:pPr>
        <w:jc w:val="both"/>
      </w:pPr>
      <w:r>
        <w:t xml:space="preserve">The REACT trial was designed to evaluate malaria vector control measures complementary to the universal coverage with Long-Lasting Insecticidal Nets (LLIN) to target residual transmission (transmission that escape control by LLINs). Four promising complementary strategies have been identified with the National Malaria Control Programs (NMCP) in Burkina Faso (BF) and </w:t>
      </w:r>
      <w:proofErr w:type="spellStart"/>
      <w:r>
        <w:t>République</w:t>
      </w:r>
      <w:proofErr w:type="spellEnd"/>
      <w:r>
        <w:t xml:space="preserve"> de Côte d’Ivoire (RCI). The four strategies were:</w:t>
      </w:r>
    </w:p>
    <w:p w:rsidR="00F92B70" w:rsidRDefault="00F92B70" w:rsidP="00F92B70">
      <w:pPr>
        <w:pStyle w:val="Paragraphedeliste"/>
        <w:numPr>
          <w:ilvl w:val="0"/>
          <w:numId w:val="3"/>
        </w:numPr>
        <w:jc w:val="both"/>
      </w:pPr>
      <w:r>
        <w:t xml:space="preserve">Indoor Residual Spraying (IRS) with </w:t>
      </w:r>
      <w:proofErr w:type="spellStart"/>
      <w:r>
        <w:t>Pirimiphos</w:t>
      </w:r>
      <w:proofErr w:type="spellEnd"/>
      <w:r>
        <w:t xml:space="preserve"> methyl (PM; </w:t>
      </w:r>
      <w:proofErr w:type="spellStart"/>
      <w:r>
        <w:t>Actellic</w:t>
      </w:r>
      <w:proofErr w:type="spellEnd"/>
      <w:r>
        <w:t xml:space="preserve"> 300 CS) insecticides. PM is a non-pyrethroid insecticide able to target </w:t>
      </w:r>
      <w:proofErr w:type="spellStart"/>
      <w:r>
        <w:t>endophilic</w:t>
      </w:r>
      <w:proofErr w:type="spellEnd"/>
      <w:r>
        <w:t xml:space="preserve"> vector expressing resistance to pyrethroids (the insecticide family used in LLINs). The formulation is known to have a residual efficacy longer than 6 months. </w:t>
      </w:r>
      <w:r w:rsidRPr="00D73D27">
        <w:rPr>
          <w:color w:val="FF0000"/>
        </w:rPr>
        <w:t>[Modified from the version 1 of the protocol after we failed to obtain insecticidal painting from the manufacturer. Modification validated by NMCPs and founder on the proposal of the project steering committee. IRS and insecticidal painting target the same ]</w:t>
      </w:r>
    </w:p>
    <w:p w:rsidR="00F92B70" w:rsidRDefault="00F92B70" w:rsidP="00F92B70">
      <w:pPr>
        <w:pStyle w:val="Paragraphedeliste"/>
        <w:numPr>
          <w:ilvl w:val="0"/>
          <w:numId w:val="3"/>
        </w:numPr>
        <w:jc w:val="both"/>
      </w:pPr>
      <w:proofErr w:type="spellStart"/>
      <w:r>
        <w:t>Ivermectin</w:t>
      </w:r>
      <w:proofErr w:type="spellEnd"/>
      <w:r>
        <w:t xml:space="preserve"> (IVM) administration to </w:t>
      </w:r>
      <w:proofErr w:type="spellStart"/>
      <w:r>
        <w:t>peri</w:t>
      </w:r>
      <w:proofErr w:type="spellEnd"/>
      <w:r>
        <w:t xml:space="preserve">-domestic animals. </w:t>
      </w:r>
      <w:proofErr w:type="spellStart"/>
      <w:r>
        <w:t>Ivermectin</w:t>
      </w:r>
      <w:proofErr w:type="spellEnd"/>
      <w:r>
        <w:t xml:space="preserve"> kills mosquitoes that take a blood meal on treated animals. The strategy is expected to target the fraction of the vector population that shows plasticity in their blood-meal source preference and therefore avoid contacts with LLINs. </w:t>
      </w:r>
    </w:p>
    <w:p w:rsidR="00F92B70" w:rsidRDefault="00F92B70" w:rsidP="00F92B70">
      <w:pPr>
        <w:pStyle w:val="Paragraphedeliste"/>
        <w:numPr>
          <w:ilvl w:val="0"/>
          <w:numId w:val="3"/>
        </w:numPr>
        <w:jc w:val="both"/>
      </w:pPr>
      <w:proofErr w:type="spellStart"/>
      <w:r>
        <w:t>Larvicide</w:t>
      </w:r>
      <w:proofErr w:type="spellEnd"/>
      <w:r>
        <w:t xml:space="preserve"> based on </w:t>
      </w:r>
      <w:r>
        <w:rPr>
          <w:i/>
          <w:iCs/>
        </w:rPr>
        <w:t xml:space="preserve">Bacillus </w:t>
      </w:r>
      <w:proofErr w:type="spellStart"/>
      <w:r>
        <w:rPr>
          <w:i/>
          <w:iCs/>
        </w:rPr>
        <w:t>thuringiensis</w:t>
      </w:r>
      <w:proofErr w:type="spellEnd"/>
      <w:r>
        <w:rPr>
          <w:i/>
          <w:iCs/>
        </w:rPr>
        <w:t xml:space="preserve"> </w:t>
      </w:r>
      <w:proofErr w:type="spellStart"/>
      <w:r>
        <w:rPr>
          <w:i/>
          <w:iCs/>
        </w:rPr>
        <w:t>israelensis</w:t>
      </w:r>
      <w:proofErr w:type="spellEnd"/>
      <w:r>
        <w:t xml:space="preserve"> (BTI): the strategy targets vectors at the larval stage. All vectors (pyrethroid resistant or not, behaviorally resistant or not) are therefore targeted.</w:t>
      </w:r>
    </w:p>
    <w:p w:rsidR="00F92B70" w:rsidRDefault="00F92B70" w:rsidP="00F92B70">
      <w:pPr>
        <w:pStyle w:val="Paragraphedeliste"/>
        <w:numPr>
          <w:ilvl w:val="0"/>
          <w:numId w:val="3"/>
        </w:numPr>
        <w:jc w:val="both"/>
      </w:pPr>
      <w:proofErr w:type="spellStart"/>
      <w:r>
        <w:t>Behaviour</w:t>
      </w:r>
      <w:proofErr w:type="spellEnd"/>
      <w:r>
        <w:t xml:space="preserve"> Change Communication (BCC): the strategy aims in particular to increase LLIN use (that are now present everywhere but rarely used to optimal effect).</w:t>
      </w:r>
    </w:p>
    <w:p w:rsidR="00E96324" w:rsidRDefault="00E96324" w:rsidP="00AB6178">
      <w:pPr>
        <w:jc w:val="both"/>
      </w:pPr>
      <w:r>
        <w:t>Our hypothesis is that each of this complementary intervention has an additional effect to LLIN ag</w:t>
      </w:r>
      <w:r w:rsidR="003F4BA9">
        <w:t>a</w:t>
      </w:r>
      <w:r>
        <w:t>inst malaria disease.</w:t>
      </w:r>
    </w:p>
    <w:p w:rsidR="00E96324" w:rsidRDefault="00F172BF" w:rsidP="005838ED">
      <w:pPr>
        <w:pStyle w:val="Titre2"/>
        <w:rPr>
          <w:rFonts w:eastAsia="Times New Roman"/>
        </w:rPr>
      </w:pPr>
      <w:r w:rsidRPr="00F172BF">
        <w:rPr>
          <w:rFonts w:eastAsia="Times New Roman"/>
        </w:rPr>
        <w:br/>
      </w:r>
      <w:r w:rsidRPr="00F172BF">
        <w:rPr>
          <w:rFonts w:eastAsia="Times New Roman"/>
        </w:rPr>
        <w:br/>
      </w:r>
      <w:r w:rsidR="00E96324">
        <w:rPr>
          <w:rFonts w:eastAsia="Times New Roman"/>
        </w:rPr>
        <w:t>Trial design</w:t>
      </w:r>
    </w:p>
    <w:p w:rsidR="00E96324" w:rsidRPr="00F05F18" w:rsidRDefault="00E96324" w:rsidP="002F4F45">
      <w:pPr>
        <w:jc w:val="both"/>
      </w:pPr>
      <w:r>
        <w:t>The REACT project is a two-country, five-arms, randomized and, controlled parallel with baseline trial. The trials aimed at evaluating the additional effect of the complementary malaria control strategies. Three arms (LLIN a</w:t>
      </w:r>
      <w:r w:rsidR="00F05F18">
        <w:t>lone, LLIN+IRS and LLIN+BCC) will be</w:t>
      </w:r>
      <w:r>
        <w:t xml:space="preserve"> common to both countries. Two </w:t>
      </w:r>
      <w:r w:rsidR="00F05F18">
        <w:t>arms, LLIN+BTI and LLIN+IVM will be</w:t>
      </w:r>
      <w:r>
        <w:t xml:space="preserve"> country-specific, ran respectively in Côte d’Ivoire and in Burkina Faso. </w:t>
      </w:r>
      <w:r w:rsidRPr="00E96324">
        <w:rPr>
          <w:color w:val="FF0000"/>
        </w:rPr>
        <w:t xml:space="preserve">[Modified from the version 1 of the protocol after we decided to replace insecticidal painting by an IRS intervention. It was initially planned to evaluate </w:t>
      </w:r>
      <w:proofErr w:type="spellStart"/>
      <w:r w:rsidRPr="00E96324">
        <w:rPr>
          <w:color w:val="FF0000"/>
        </w:rPr>
        <w:t>LLIN+Painting</w:t>
      </w:r>
      <w:proofErr w:type="spellEnd"/>
      <w:r w:rsidRPr="00E96324">
        <w:rPr>
          <w:color w:val="FF0000"/>
        </w:rPr>
        <w:t xml:space="preserve"> and LLIN+BCC in only one area, in BF and RCI, respectively (corresponding to two independent three-arm trials). However, the project external advisory board and NMCPs suggested (after we decide to switch from painting to IRS, after collection of pre-intervention data but before randomization) to deploy both IRS and BCC interventions in both area, allowing to get more generalizable results. Modification accepted by the steering committee.]</w:t>
      </w:r>
      <w:r w:rsidR="00F05F18">
        <w:rPr>
          <w:color w:val="FF0000"/>
        </w:rPr>
        <w:t xml:space="preserve"> </w:t>
      </w:r>
      <w:r w:rsidR="00F05F18">
        <w:t>The trial will last two years including one pre-intervention year and one post-intervention year.</w:t>
      </w:r>
    </w:p>
    <w:p w:rsidR="00F172BF" w:rsidRPr="00F172BF" w:rsidRDefault="00F172BF" w:rsidP="00F172BF">
      <w:pPr>
        <w:spacing w:before="100" w:beforeAutospacing="1" w:after="100" w:afterAutospacing="1" w:line="240" w:lineRule="auto"/>
        <w:rPr>
          <w:rFonts w:ascii="Times New Roman" w:eastAsia="Times New Roman" w:hAnsi="Times New Roman" w:cs="Times New Roman"/>
          <w:sz w:val="24"/>
          <w:szCs w:val="24"/>
        </w:rPr>
      </w:pPr>
    </w:p>
    <w:p w:rsidR="00F172BF" w:rsidRPr="00F172BF" w:rsidRDefault="00F172BF" w:rsidP="005838ED">
      <w:pPr>
        <w:pStyle w:val="Titre1"/>
      </w:pPr>
      <w:r w:rsidRPr="00F172BF">
        <w:lastRenderedPageBreak/>
        <w:br/>
        <w:t>Methods: Participants, interventions and outcomes</w:t>
      </w:r>
    </w:p>
    <w:p w:rsidR="00F172BF" w:rsidRDefault="00D73D27" w:rsidP="005838ED">
      <w:pPr>
        <w:pStyle w:val="Titre2"/>
        <w:rPr>
          <w:rFonts w:eastAsia="Times New Roman"/>
        </w:rPr>
      </w:pPr>
      <w:r>
        <w:rPr>
          <w:rFonts w:eastAsia="Times New Roman"/>
        </w:rPr>
        <w:t>Study setting</w:t>
      </w:r>
    </w:p>
    <w:p w:rsidR="00E96324" w:rsidRDefault="00E96324" w:rsidP="00E96324">
      <w:pPr>
        <w:jc w:val="both"/>
      </w:pPr>
      <w:r>
        <w:t xml:space="preserve">The study will be carried out in communities (villages) of the </w:t>
      </w:r>
      <w:proofErr w:type="spellStart"/>
      <w:r>
        <w:t>Diébougou</w:t>
      </w:r>
      <w:proofErr w:type="spellEnd"/>
      <w:r>
        <w:t xml:space="preserve"> health district in Southwestern BF, and in the </w:t>
      </w:r>
      <w:proofErr w:type="spellStart"/>
      <w:r>
        <w:t>Korhogo</w:t>
      </w:r>
      <w:proofErr w:type="spellEnd"/>
      <w:r>
        <w:t xml:space="preserve"> health district in Northern RCI. Both health districts are located in the West-</w:t>
      </w:r>
      <w:proofErr w:type="spellStart"/>
      <w:r>
        <w:t>Sudanian</w:t>
      </w:r>
      <w:proofErr w:type="spellEnd"/>
      <w:r>
        <w:t xml:space="preserve"> savanna bio-region. There were selected in 2016 based on population spatial density, security risk and accessibility from </w:t>
      </w:r>
      <w:proofErr w:type="spellStart"/>
      <w:r>
        <w:t>Bobo-Dioulasso</w:t>
      </w:r>
      <w:proofErr w:type="spellEnd"/>
      <w:r>
        <w:t xml:space="preserve"> or </w:t>
      </w:r>
      <w:proofErr w:type="spellStart"/>
      <w:r>
        <w:t>Bouaké</w:t>
      </w:r>
      <w:proofErr w:type="spellEnd"/>
      <w:r>
        <w:t xml:space="preserve"> cities where the </w:t>
      </w:r>
      <w:proofErr w:type="spellStart"/>
      <w:r>
        <w:rPr>
          <w:i/>
        </w:rPr>
        <w:t>Institut</w:t>
      </w:r>
      <w:proofErr w:type="spellEnd"/>
      <w:r>
        <w:rPr>
          <w:i/>
        </w:rPr>
        <w:t xml:space="preserve"> de </w:t>
      </w:r>
      <w:proofErr w:type="spellStart"/>
      <w:r>
        <w:rPr>
          <w:i/>
        </w:rPr>
        <w:t>Recherche</w:t>
      </w:r>
      <w:proofErr w:type="spellEnd"/>
      <w:r>
        <w:rPr>
          <w:i/>
        </w:rPr>
        <w:t xml:space="preserve"> en Sciences de la Santé </w:t>
      </w:r>
      <w:r>
        <w:t xml:space="preserve">(IRSS) and the </w:t>
      </w:r>
      <w:proofErr w:type="spellStart"/>
      <w:r>
        <w:rPr>
          <w:i/>
        </w:rPr>
        <w:t>Institut</w:t>
      </w:r>
      <w:proofErr w:type="spellEnd"/>
      <w:r>
        <w:rPr>
          <w:i/>
        </w:rPr>
        <w:t xml:space="preserve"> Pierre Richet</w:t>
      </w:r>
      <w:r>
        <w:t xml:space="preserve"> (IPR) laboratories are located, respectively. </w:t>
      </w:r>
    </w:p>
    <w:p w:rsidR="005838ED" w:rsidRDefault="005838ED" w:rsidP="005838ED">
      <w:pPr>
        <w:pStyle w:val="Titre2"/>
        <w:rPr>
          <w:rFonts w:eastAsia="Times New Roman"/>
        </w:rPr>
      </w:pPr>
    </w:p>
    <w:p w:rsidR="00F172BF" w:rsidRPr="00F172BF" w:rsidRDefault="003F4BA9" w:rsidP="005838ED">
      <w:pPr>
        <w:pStyle w:val="Titre2"/>
        <w:rPr>
          <w:rFonts w:eastAsia="Times New Roman"/>
        </w:rPr>
      </w:pPr>
      <w:r>
        <w:rPr>
          <w:rFonts w:eastAsia="Times New Roman"/>
        </w:rPr>
        <w:t>Eligibility criteria</w:t>
      </w:r>
    </w:p>
    <w:p w:rsidR="00E96324" w:rsidRDefault="00E96324" w:rsidP="00E96324">
      <w:pPr>
        <w:jc w:val="both"/>
      </w:pPr>
      <w:r>
        <w:t xml:space="preserve">Villages (clusters) selection will target an average population of 300 inhabitants, a minimal distance between villages of 2 km, and accessibility with a 4x4 vehicle all year round. </w:t>
      </w:r>
    </w:p>
    <w:p w:rsidR="00D73D27" w:rsidRDefault="00E96324" w:rsidP="00D73D27">
      <w:pPr>
        <w:jc w:val="both"/>
      </w:pPr>
      <w:r>
        <w:t xml:space="preserve">27 and 28 villages will be kept for participating in the study in BF and RCI, respectively. </w:t>
      </w:r>
      <w:r w:rsidR="000736CB">
        <w:rPr>
          <w:color w:val="FF0000"/>
        </w:rPr>
        <w:t>[Modifi</w:t>
      </w:r>
      <w:r w:rsidRPr="00D73D27">
        <w:rPr>
          <w:color w:val="FF0000"/>
        </w:rPr>
        <w:t>ed from</w:t>
      </w:r>
      <w:r w:rsidR="00D73D27" w:rsidRPr="00D73D27">
        <w:rPr>
          <w:color w:val="FF0000"/>
        </w:rPr>
        <w:t xml:space="preserve"> version 1 of the protocol which provided for 30 villages per areas</w:t>
      </w:r>
      <w:r w:rsidR="000736CB">
        <w:rPr>
          <w:color w:val="FF0000"/>
        </w:rPr>
        <w:t>. Modification done</w:t>
      </w:r>
      <w:r w:rsidR="00D73D27" w:rsidRPr="00D73D27">
        <w:rPr>
          <w:color w:val="FF0000"/>
        </w:rPr>
        <w:t xml:space="preserve"> after f</w:t>
      </w:r>
      <w:r w:rsidRPr="00D73D27">
        <w:rPr>
          <w:color w:val="FF0000"/>
        </w:rPr>
        <w:t>our villages in RCI</w:t>
      </w:r>
      <w:r w:rsidR="00D73D27" w:rsidRPr="00D73D27">
        <w:rPr>
          <w:color w:val="FF0000"/>
        </w:rPr>
        <w:t xml:space="preserve"> not fitting inclusion criteria (relative to the distance btw village</w:t>
      </w:r>
      <w:r w:rsidR="00525301">
        <w:rPr>
          <w:color w:val="FF0000"/>
        </w:rPr>
        <w:t>s</w:t>
      </w:r>
      <w:r w:rsidR="00D73D27" w:rsidRPr="00D73D27">
        <w:rPr>
          <w:color w:val="FF0000"/>
        </w:rPr>
        <w:t>) were excluded and two other included. In June 2017, before randomization</w:t>
      </w:r>
      <w:r w:rsidRPr="00D73D27">
        <w:rPr>
          <w:color w:val="FF0000"/>
        </w:rPr>
        <w:t xml:space="preserve">. </w:t>
      </w:r>
      <w:r w:rsidR="00D73D27" w:rsidRPr="00D73D27">
        <w:rPr>
          <w:color w:val="FF0000"/>
        </w:rPr>
        <w:t>Only 27 villages in BF, which respect the eligibility criteria</w:t>
      </w:r>
      <w:r w:rsidR="000736CB">
        <w:rPr>
          <w:color w:val="FF0000"/>
        </w:rPr>
        <w:t xml:space="preserve"> and were accessible all year round</w:t>
      </w:r>
      <w:r w:rsidR="00D73D27" w:rsidRPr="00D73D27">
        <w:rPr>
          <w:color w:val="FF0000"/>
        </w:rPr>
        <w:t xml:space="preserve"> were found. Modification accepted by the steering committee.]</w:t>
      </w:r>
    </w:p>
    <w:p w:rsidR="00F172BF" w:rsidRDefault="00F172BF" w:rsidP="005838ED">
      <w:pPr>
        <w:pStyle w:val="Titre2"/>
        <w:rPr>
          <w:rFonts w:eastAsia="Times New Roman"/>
        </w:rPr>
      </w:pPr>
      <w:r w:rsidRPr="00F172BF">
        <w:rPr>
          <w:rFonts w:eastAsia="Times New Roman"/>
        </w:rPr>
        <w:br/>
      </w:r>
      <w:r w:rsidR="00AB6178">
        <w:rPr>
          <w:rFonts w:eastAsia="Times New Roman"/>
        </w:rPr>
        <w:t>Interventions</w:t>
      </w:r>
    </w:p>
    <w:p w:rsidR="000C453D" w:rsidRDefault="000C453D" w:rsidP="000736CB">
      <w:pPr>
        <w:spacing w:before="100" w:beforeAutospacing="1" w:after="100" w:afterAutospacing="1" w:line="240" w:lineRule="auto"/>
        <w:jc w:val="both"/>
      </w:pPr>
      <w:r>
        <w:t>The baseline and control intervention (LLIN-alone) corresponded to what is implemented by National Malaria Control Programs (NMCP), i.e. universal coverage with LLINs.</w:t>
      </w:r>
    </w:p>
    <w:p w:rsidR="000C453D" w:rsidRDefault="000C453D" w:rsidP="000736CB">
      <w:pPr>
        <w:spacing w:before="100" w:beforeAutospacing="1" w:after="100" w:afterAutospacing="1" w:line="240" w:lineRule="auto"/>
        <w:jc w:val="both"/>
      </w:pPr>
      <w:r>
        <w:t xml:space="preserve">LLIN+IRS arm consist in applying, in addition to LLINs, IRS with </w:t>
      </w:r>
      <w:proofErr w:type="spellStart"/>
      <w:r>
        <w:t>Actellic</w:t>
      </w:r>
      <w:proofErr w:type="spellEnd"/>
      <w:r>
        <w:rPr>
          <w:vertAlign w:val="superscript"/>
        </w:rPr>
        <w:t xml:space="preserve">® </w:t>
      </w:r>
      <w:r>
        <w:t>300CS (Syngenta AG, Basel, Switzerland) at a target dosage of 1 g. of active ingredient (</w:t>
      </w:r>
      <w:proofErr w:type="spellStart"/>
      <w:r>
        <w:t>pirimiphos</w:t>
      </w:r>
      <w:proofErr w:type="spellEnd"/>
      <w:r>
        <w:t>-methyl) per m² in every houses of the selected villages.</w:t>
      </w:r>
    </w:p>
    <w:p w:rsidR="004E3CA6" w:rsidRDefault="000C453D" w:rsidP="004E3CA6">
      <w:pPr>
        <w:spacing w:before="100" w:beforeAutospacing="1" w:after="100" w:afterAutospacing="1" w:line="240" w:lineRule="auto"/>
        <w:jc w:val="both"/>
      </w:pPr>
      <w:r>
        <w:t xml:space="preserve">Intensive BCC complementary intervention (LLIN+BCC arm) will target the following behaviors in the human population: everyone sleep under an LLIN every night, (ii) every household and community member cleans up its environment to limits mosquito proliferation, (iii) every pregnant woman asks for, and takes the </w:t>
      </w:r>
      <w:r>
        <w:rPr>
          <w:iCs/>
        </w:rPr>
        <w:t xml:space="preserve">intermittent preventive treatment of malaria during pregnancy </w:t>
      </w:r>
      <w:r>
        <w:t>(ITP) and, (iv) people in charge of &lt;5 y/o children come to see an health worker within 24h in case of fever.</w:t>
      </w:r>
    </w:p>
    <w:p w:rsidR="004E3CA6" w:rsidRDefault="004E3CA6" w:rsidP="004E3CA6">
      <w:pPr>
        <w:spacing w:before="100" w:beforeAutospacing="1" w:after="100" w:afterAutospacing="1" w:line="240" w:lineRule="auto"/>
        <w:jc w:val="both"/>
      </w:pPr>
      <w:r>
        <w:t xml:space="preserve">BTI complementary intervention will consist in treating inventoried anopheles breeding sites with a </w:t>
      </w:r>
      <w:proofErr w:type="spellStart"/>
      <w:r>
        <w:t>bti</w:t>
      </w:r>
      <w:proofErr w:type="spellEnd"/>
      <w:r>
        <w:t xml:space="preserve">-based formulation of </w:t>
      </w:r>
      <w:proofErr w:type="spellStart"/>
      <w:r>
        <w:t>larvicide</w:t>
      </w:r>
      <w:proofErr w:type="spellEnd"/>
      <w:r>
        <w:t xml:space="preserve"> on a monthly frequency bases in a 2km buffer area around </w:t>
      </w:r>
      <w:r w:rsidR="001152FA">
        <w:t>the village centers.</w:t>
      </w:r>
    </w:p>
    <w:p w:rsidR="001152FA" w:rsidRDefault="001152FA" w:rsidP="004E3CA6">
      <w:pPr>
        <w:spacing w:before="100" w:beforeAutospacing="1" w:after="100" w:afterAutospacing="1" w:line="240" w:lineRule="auto"/>
        <w:jc w:val="both"/>
      </w:pPr>
      <w:r>
        <w:t xml:space="preserve">IVM complementary intervention will consist in treating </w:t>
      </w:r>
      <w:proofErr w:type="spellStart"/>
      <w:r>
        <w:t>peri</w:t>
      </w:r>
      <w:proofErr w:type="spellEnd"/>
      <w:r>
        <w:t xml:space="preserve">-domestic animals (mammals) with </w:t>
      </w:r>
      <w:r w:rsidR="002E76AC">
        <w:t xml:space="preserve">an </w:t>
      </w:r>
      <w:proofErr w:type="spellStart"/>
      <w:r w:rsidR="002E76AC">
        <w:t>ivermectin</w:t>
      </w:r>
      <w:proofErr w:type="spellEnd"/>
      <w:r w:rsidR="002E76AC">
        <w:t xml:space="preserve"> based formulation (monthly injections).</w:t>
      </w:r>
    </w:p>
    <w:p w:rsidR="001152FA" w:rsidRDefault="001152FA" w:rsidP="00F172BF">
      <w:pPr>
        <w:spacing w:before="100" w:beforeAutospacing="1" w:after="100" w:afterAutospacing="1" w:line="240" w:lineRule="auto"/>
        <w:rPr>
          <w:rFonts w:ascii="Times New Roman" w:eastAsia="Times New Roman" w:hAnsi="Times New Roman" w:cs="Times New Roman"/>
          <w:b/>
          <w:bCs/>
          <w:sz w:val="24"/>
          <w:szCs w:val="24"/>
        </w:rPr>
      </w:pPr>
    </w:p>
    <w:p w:rsidR="00F172BF" w:rsidRDefault="00AB6178" w:rsidP="005838ED">
      <w:pPr>
        <w:pStyle w:val="Titre2"/>
        <w:rPr>
          <w:rFonts w:eastAsia="Times New Roman"/>
        </w:rPr>
      </w:pPr>
      <w:r>
        <w:rPr>
          <w:rFonts w:eastAsia="Times New Roman"/>
        </w:rPr>
        <w:t xml:space="preserve">Outcomes </w:t>
      </w:r>
    </w:p>
    <w:p w:rsidR="004E3CA6" w:rsidRDefault="004E3CA6" w:rsidP="004E3CA6">
      <w:pPr>
        <w:jc w:val="both"/>
      </w:pPr>
      <w:r>
        <w:t>Primary outcome</w:t>
      </w:r>
      <w:r w:rsidR="000514F3">
        <w:t xml:space="preserve">s will be the incidence density </w:t>
      </w:r>
      <w:r>
        <w:t xml:space="preserve">(number of cases per person-time recorded in health centers), the prevalence of malaria case in young people (proportion of participants aged 0-18 y/o tested positive by RDT and showing fever </w:t>
      </w:r>
      <w:r w:rsidR="00CF7D65">
        <w:t xml:space="preserve">during cross-sectional surveys) and prevalence of </w:t>
      </w:r>
      <w:r w:rsidR="00CF7D65">
        <w:rPr>
          <w:i/>
        </w:rPr>
        <w:t>Plasmodium</w:t>
      </w:r>
      <w:r w:rsidR="00CF7D65">
        <w:t xml:space="preserve"> infection (the proportion of 0-18 y/o with positive blood smears). </w:t>
      </w:r>
      <w:r w:rsidR="00CF7D65" w:rsidRPr="00D03252">
        <w:rPr>
          <w:color w:val="FF0000"/>
        </w:rPr>
        <w:t>[</w:t>
      </w:r>
      <w:proofErr w:type="gramStart"/>
      <w:r w:rsidR="00CF7D65" w:rsidRPr="00D03252">
        <w:rPr>
          <w:color w:val="FF0000"/>
        </w:rPr>
        <w:t>update</w:t>
      </w:r>
      <w:proofErr w:type="gramEnd"/>
      <w:r w:rsidR="00CF7D65" w:rsidRPr="00D03252">
        <w:rPr>
          <w:color w:val="FF0000"/>
        </w:rPr>
        <w:t xml:space="preserve"> 2017-06:</w:t>
      </w:r>
      <w:r w:rsidR="00CF7D65">
        <w:rPr>
          <w:color w:val="FF0000"/>
        </w:rPr>
        <w:t xml:space="preserve"> </w:t>
      </w:r>
      <w:r w:rsidR="00F16EDC">
        <w:rPr>
          <w:color w:val="FF0000"/>
        </w:rPr>
        <w:t xml:space="preserve">except for the IVM arm analysis, </w:t>
      </w:r>
      <w:r w:rsidR="00CF7D65">
        <w:rPr>
          <w:color w:val="FF0000"/>
        </w:rPr>
        <w:t xml:space="preserve">prevalence of </w:t>
      </w:r>
      <w:r w:rsidR="00CF7D65" w:rsidRPr="00CF7D65">
        <w:rPr>
          <w:i/>
          <w:color w:val="FF0000"/>
        </w:rPr>
        <w:t>Plasmodium</w:t>
      </w:r>
      <w:r w:rsidR="00CF7D65">
        <w:rPr>
          <w:color w:val="FF0000"/>
        </w:rPr>
        <w:t xml:space="preserve"> infection was </w:t>
      </w:r>
      <w:r w:rsidR="00F16EDC">
        <w:rPr>
          <w:color w:val="FF0000"/>
        </w:rPr>
        <w:t xml:space="preserve">downgraded to secondary outcome. </w:t>
      </w:r>
      <w:r w:rsidR="00CF7D65">
        <w:rPr>
          <w:color w:val="FF0000"/>
        </w:rPr>
        <w:t>Due to logistical constrained in Côte d’Ivoire, we were not able to collect and read blood-smears in all villages during pre-intervention. This</w:t>
      </w:r>
      <w:r w:rsidR="00F16EDC">
        <w:rPr>
          <w:color w:val="FF0000"/>
        </w:rPr>
        <w:t xml:space="preserve"> prevent the use of the initial analysis plan for arms involving data from Côte d’Ivoire.]</w:t>
      </w:r>
      <w:r w:rsidR="000514F3">
        <w:rPr>
          <w:color w:val="FF0000"/>
        </w:rPr>
        <w:t xml:space="preserve"> [</w:t>
      </w:r>
      <w:proofErr w:type="gramStart"/>
      <w:r w:rsidR="000514F3">
        <w:rPr>
          <w:color w:val="FF0000"/>
        </w:rPr>
        <w:t>update</w:t>
      </w:r>
      <w:proofErr w:type="gramEnd"/>
      <w:r w:rsidR="000514F3">
        <w:rPr>
          <w:color w:val="FF0000"/>
        </w:rPr>
        <w:t xml:space="preserve"> 2024-12: to be consistent with the trial dimensioning method, see below, </w:t>
      </w:r>
      <w:proofErr w:type="spellStart"/>
      <w:r w:rsidR="000514F3">
        <w:rPr>
          <w:color w:val="FF0000"/>
        </w:rPr>
        <w:t>indicence</w:t>
      </w:r>
      <w:proofErr w:type="spellEnd"/>
      <w:r w:rsidR="000514F3">
        <w:rPr>
          <w:color w:val="FF0000"/>
        </w:rPr>
        <w:t xml:space="preserve"> density was kept as the sole primary outcome. Case prevalence and infection prevalence were considered secondary outcomes.]</w:t>
      </w:r>
      <w:bookmarkStart w:id="0" w:name="_GoBack"/>
      <w:bookmarkEnd w:id="0"/>
    </w:p>
    <w:p w:rsidR="00EF257C" w:rsidRDefault="004E3CA6" w:rsidP="00AB6178">
      <w:pPr>
        <w:jc w:val="both"/>
      </w:pPr>
      <w:r>
        <w:t xml:space="preserve">Secondary outcomes include: parasite density of </w:t>
      </w:r>
      <w:proofErr w:type="spellStart"/>
      <w:r>
        <w:rPr>
          <w:i/>
        </w:rPr>
        <w:t>Plamodium</w:t>
      </w:r>
      <w:proofErr w:type="spellEnd"/>
      <w:r>
        <w:rPr>
          <w:i/>
        </w:rPr>
        <w:t xml:space="preserve"> falciparum</w:t>
      </w:r>
      <w:r>
        <w:t xml:space="preserve"> in asymptomatic participants (0-18 y/o), LLIN use rate (proportion of 0-18 y/o declaring having used net the night preceding cross-sectional surveys), human biting rate by </w:t>
      </w:r>
      <w:r>
        <w:rPr>
          <w:i/>
        </w:rPr>
        <w:t>Anopheles</w:t>
      </w:r>
      <w:r>
        <w:t xml:space="preserve"> (number of bites per human per night), mosquito nuisance (human biting rate by mosquitoes of every genus), the </w:t>
      </w:r>
      <w:proofErr w:type="spellStart"/>
      <w:r>
        <w:t>sporozoite</w:t>
      </w:r>
      <w:proofErr w:type="spellEnd"/>
      <w:r>
        <w:t xml:space="preserve"> rate (proportion of </w:t>
      </w:r>
      <w:r>
        <w:rPr>
          <w:i/>
        </w:rPr>
        <w:t>Anopheles</w:t>
      </w:r>
      <w:r>
        <w:t xml:space="preserve"> infected by </w:t>
      </w:r>
      <w:r>
        <w:rPr>
          <w:i/>
        </w:rPr>
        <w:t>P. falciparum</w:t>
      </w:r>
      <w:r>
        <w:t xml:space="preserve">), entomological inoculation rate (nightly number of infectious bites received per human), parity rate (proportion of </w:t>
      </w:r>
      <w:proofErr w:type="spellStart"/>
      <w:r>
        <w:t>parous</w:t>
      </w:r>
      <w:proofErr w:type="spellEnd"/>
      <w:r>
        <w:t xml:space="preserve"> </w:t>
      </w:r>
      <w:r>
        <w:rPr>
          <w:i/>
        </w:rPr>
        <w:t>Anopheles</w:t>
      </w:r>
      <w:r>
        <w:t xml:space="preserve"> females), </w:t>
      </w:r>
      <w:proofErr w:type="spellStart"/>
      <w:r>
        <w:t>exophagy</w:t>
      </w:r>
      <w:proofErr w:type="spellEnd"/>
      <w:r>
        <w:t xml:space="preserve"> rate (proportion of </w:t>
      </w:r>
      <w:r>
        <w:rPr>
          <w:i/>
        </w:rPr>
        <w:t>Anopheles</w:t>
      </w:r>
      <w:r>
        <w:t xml:space="preserve"> collected outdoors), median hour of biting (hour of the night at which 50% of </w:t>
      </w:r>
      <w:r>
        <w:rPr>
          <w:i/>
        </w:rPr>
        <w:t>Anopheles</w:t>
      </w:r>
      <w:r>
        <w:t xml:space="preserve"> have already taken their blood meal) and, allelic frequencies of the </w:t>
      </w:r>
      <w:proofErr w:type="spellStart"/>
      <w:r>
        <w:t>kdr</w:t>
      </w:r>
      <w:proofErr w:type="spellEnd"/>
      <w:r>
        <w:t xml:space="preserve">-west (L1014F), </w:t>
      </w:r>
      <w:proofErr w:type="spellStart"/>
      <w:r>
        <w:t>kdr</w:t>
      </w:r>
      <w:proofErr w:type="spellEnd"/>
      <w:r>
        <w:t>-east (L1014S; BF area only) and, ace-1 (G119S) insecticide re</w:t>
      </w:r>
      <w:r w:rsidR="00F16EDC">
        <w:t>sistance target-site mutations.</w:t>
      </w:r>
    </w:p>
    <w:p w:rsidR="00AB6178" w:rsidRDefault="00AB6178" w:rsidP="00AB6178">
      <w:pPr>
        <w:jc w:val="both"/>
        <w:rPr>
          <w:rFonts w:ascii="Times New Roman" w:eastAsia="Times New Roman" w:hAnsi="Times New Roman" w:cs="Times New Roman"/>
          <w:b/>
          <w:bCs/>
          <w:sz w:val="24"/>
          <w:szCs w:val="24"/>
        </w:rPr>
      </w:pPr>
    </w:p>
    <w:p w:rsidR="005838ED" w:rsidRDefault="00AB6178" w:rsidP="005838ED">
      <w:pPr>
        <w:pStyle w:val="Titre2"/>
        <w:rPr>
          <w:rFonts w:eastAsia="Times New Roman"/>
        </w:rPr>
      </w:pPr>
      <w:r>
        <w:rPr>
          <w:rFonts w:eastAsia="Times New Roman"/>
        </w:rPr>
        <w:t>Sample size</w:t>
      </w:r>
    </w:p>
    <w:p w:rsidR="000736CB" w:rsidRDefault="000736CB" w:rsidP="005838ED">
      <w:pPr>
        <w:jc w:val="both"/>
        <w:rPr>
          <w:color w:val="FF0000"/>
        </w:rPr>
      </w:pPr>
      <w:r>
        <w:t>We calculated the numbers of clusters and individuals required to detect a 33% protective efficacy against malaria incidence density conferred by combinations compared with the control group, with a power of 80%, significance level of 5%, design effect of 0.25, average of 1 clinical malaria episodes per person-year in the study areas. The estimated minimum number of clusters for every intervention was eight with an average 300 individuals per cluster.</w:t>
      </w:r>
      <w:r w:rsidR="00BC53BA">
        <w:t xml:space="preserve"> </w:t>
      </w:r>
      <w:r w:rsidR="00BC53BA" w:rsidRPr="00D03252">
        <w:rPr>
          <w:color w:val="FF0000"/>
        </w:rPr>
        <w:t>[</w:t>
      </w:r>
      <w:proofErr w:type="gramStart"/>
      <w:r w:rsidR="00BC53BA" w:rsidRPr="00D03252">
        <w:rPr>
          <w:color w:val="FF0000"/>
        </w:rPr>
        <w:t>update</w:t>
      </w:r>
      <w:proofErr w:type="gramEnd"/>
      <w:r w:rsidR="00BC53BA" w:rsidRPr="00D03252">
        <w:rPr>
          <w:color w:val="FF0000"/>
        </w:rPr>
        <w:t xml:space="preserve"> 2017-06:</w:t>
      </w:r>
      <w:r w:rsidR="00BC53BA">
        <w:rPr>
          <w:color w:val="FF0000"/>
        </w:rPr>
        <w:t xml:space="preserve"> the method used for trial dimensioning considered the use of post-only analyses. Giving the analysis plan, the planned dimension of trial underestimate trial power to detect the expected reduction in intervention arms.] </w:t>
      </w:r>
    </w:p>
    <w:p w:rsidR="00AB6178" w:rsidRPr="005838ED" w:rsidRDefault="00AB6178" w:rsidP="005838ED">
      <w:pPr>
        <w:jc w:val="both"/>
        <w:rPr>
          <w:rFonts w:eastAsia="Times New Roman"/>
        </w:rPr>
      </w:pPr>
    </w:p>
    <w:p w:rsidR="00F172BF" w:rsidRPr="002F4F45" w:rsidRDefault="002F4F45" w:rsidP="005838ED">
      <w:pPr>
        <w:pStyle w:val="Titre2"/>
        <w:rPr>
          <w:rFonts w:eastAsia="Times New Roman"/>
        </w:rPr>
      </w:pPr>
      <w:r w:rsidRPr="002F4F45">
        <w:rPr>
          <w:rFonts w:eastAsia="Times New Roman"/>
        </w:rPr>
        <w:t xml:space="preserve">Timeline </w:t>
      </w:r>
    </w:p>
    <w:p w:rsidR="002F4F45" w:rsidRPr="00F172BF" w:rsidRDefault="002F4F45" w:rsidP="000736CB">
      <w:pPr>
        <w:spacing w:before="100" w:beforeAutospacing="1" w:after="100" w:afterAutospacing="1" w:line="240" w:lineRule="auto"/>
        <w:jc w:val="both"/>
        <w:rPr>
          <w:rFonts w:ascii="Times New Roman" w:eastAsia="Times New Roman" w:hAnsi="Times New Roman" w:cs="Times New Roman"/>
          <w:sz w:val="24"/>
          <w:szCs w:val="24"/>
        </w:rPr>
      </w:pPr>
      <w:r>
        <w:rPr>
          <w:noProof/>
        </w:rPr>
        <w:drawing>
          <wp:inline distT="0" distB="0" distL="0" distR="0" wp14:anchorId="7DDF2F2B" wp14:editId="704E5678">
            <wp:extent cx="5972810" cy="3102610"/>
            <wp:effectExtent l="0" t="0" r="889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3102610"/>
                    </a:xfrm>
                    <a:prstGeom prst="rect">
                      <a:avLst/>
                    </a:prstGeom>
                  </pic:spPr>
                </pic:pic>
              </a:graphicData>
            </a:graphic>
          </wp:inline>
        </w:drawing>
      </w:r>
    </w:p>
    <w:p w:rsidR="002F4F45" w:rsidRDefault="002F4F45" w:rsidP="00F172BF">
      <w:pPr>
        <w:spacing w:before="100" w:beforeAutospacing="1" w:after="100" w:afterAutospacing="1" w:line="240" w:lineRule="auto"/>
        <w:rPr>
          <w:rFonts w:ascii="Times New Roman" w:eastAsia="Times New Roman" w:hAnsi="Times New Roman" w:cs="Times New Roman"/>
          <w:b/>
          <w:bCs/>
          <w:sz w:val="24"/>
          <w:szCs w:val="24"/>
        </w:rPr>
      </w:pPr>
    </w:p>
    <w:p w:rsidR="00F172BF" w:rsidRPr="00F172BF" w:rsidRDefault="00AB6178" w:rsidP="005838ED">
      <w:pPr>
        <w:pStyle w:val="Titre2"/>
        <w:rPr>
          <w:rFonts w:eastAsia="Times New Roman"/>
        </w:rPr>
      </w:pPr>
      <w:r>
        <w:rPr>
          <w:rFonts w:eastAsia="Times New Roman"/>
        </w:rPr>
        <w:t>Recruitment</w:t>
      </w:r>
    </w:p>
    <w:p w:rsidR="00F172BF" w:rsidRDefault="00EF257C" w:rsidP="005838ED">
      <w:pPr>
        <w:jc w:val="both"/>
      </w:pPr>
      <w:r>
        <w:t>All consultation recorded in health center registries by people identified as inhabitants of the study villages will be considered for passive case detection during all the study duration. Participants to cross-sectional surveys will be enrolled during surveys considering an open cohort framework. A</w:t>
      </w:r>
      <w:r w:rsidRPr="00EF257C">
        <w:t xml:space="preserve">ll children </w:t>
      </w:r>
      <w:r w:rsidR="00BC53BA">
        <w:t xml:space="preserve">that will be seen during population census as well as those that will </w:t>
      </w:r>
      <w:r w:rsidRPr="00EF257C">
        <w:t xml:space="preserve">attend the surveys </w:t>
      </w:r>
      <w:r w:rsidR="00BC53BA">
        <w:t>(</w:t>
      </w:r>
      <w:r>
        <w:t>and recognized as usually living in the study village</w:t>
      </w:r>
      <w:r w:rsidR="00BC53BA">
        <w:t>)</w:t>
      </w:r>
      <w:r>
        <w:t xml:space="preserve"> </w:t>
      </w:r>
      <w:r w:rsidRPr="00EF257C">
        <w:t>will be enrolled</w:t>
      </w:r>
      <w:r>
        <w:t>.</w:t>
      </w:r>
    </w:p>
    <w:p w:rsidR="005838ED" w:rsidRPr="00F172BF" w:rsidRDefault="005838ED" w:rsidP="005838ED">
      <w:pPr>
        <w:jc w:val="both"/>
      </w:pPr>
    </w:p>
    <w:p w:rsidR="00F172BF" w:rsidRPr="00F172BF" w:rsidRDefault="005838ED" w:rsidP="005838ED">
      <w:pPr>
        <w:pStyle w:val="Titre2"/>
        <w:rPr>
          <w:rFonts w:eastAsia="Times New Roman"/>
        </w:rPr>
      </w:pPr>
      <w:r>
        <w:rPr>
          <w:rFonts w:eastAsia="Times New Roman"/>
        </w:rPr>
        <w:t>A</w:t>
      </w:r>
      <w:r w:rsidR="00F172BF" w:rsidRPr="00F172BF">
        <w:rPr>
          <w:rFonts w:eastAsia="Times New Roman"/>
        </w:rPr>
        <w:t>llocation</w:t>
      </w:r>
    </w:p>
    <w:p w:rsidR="00F172BF" w:rsidRDefault="00EF257C" w:rsidP="002F4F45">
      <w:pPr>
        <w:pStyle w:val="Sansinterligne"/>
        <w:jc w:val="both"/>
        <w:rPr>
          <w:color w:val="FF0000"/>
        </w:rPr>
      </w:pPr>
      <w:r>
        <w:t>Allocation of intervention will be</w:t>
      </w:r>
      <w:r w:rsidR="002E76AC" w:rsidRPr="002E76AC">
        <w:t xml:space="preserve"> performed at random in each country. </w:t>
      </w:r>
      <w:r w:rsidR="002E76AC">
        <w:t>Randomization will be perform</w:t>
      </w:r>
      <w:r w:rsidR="002E76AC" w:rsidRPr="002E76AC">
        <w:t xml:space="preserve"> during a workshop </w:t>
      </w:r>
      <w:r w:rsidR="002E76AC">
        <w:t>in June 2</w:t>
      </w:r>
      <w:r w:rsidR="00C40F65">
        <w:t>017, after the pre-intervention</w:t>
      </w:r>
      <w:r w:rsidR="002E76AC">
        <w:t xml:space="preserve"> baseline</w:t>
      </w:r>
      <w:r>
        <w:t xml:space="preserve"> year</w:t>
      </w:r>
      <w:r w:rsidR="00C40F65">
        <w:t>,</w:t>
      </w:r>
      <w:r w:rsidR="002E76AC">
        <w:t xml:space="preserve"> </w:t>
      </w:r>
      <w:r w:rsidR="002E76AC" w:rsidRPr="002E76AC">
        <w:t>in presence of the REACT project’s steering committee and the external advisory board. Intervention allocation</w:t>
      </w:r>
      <w:r w:rsidR="002E76AC">
        <w:t xml:space="preserve"> will follow</w:t>
      </w:r>
      <w:r w:rsidR="002E76AC" w:rsidRPr="002E76AC">
        <w:t xml:space="preserve"> the following procedure: computer generation of a</w:t>
      </w:r>
      <w:r w:rsidR="002E76AC">
        <w:t xml:space="preserve"> random numbers </w:t>
      </w:r>
      <w:r>
        <w:t>to each</w:t>
      </w:r>
      <w:r w:rsidR="002E76AC">
        <w:t xml:space="preserve"> </w:t>
      </w:r>
      <w:r w:rsidR="002E76AC" w:rsidRPr="002E76AC">
        <w:t>cluster, sorting in the ascending order, grouping by country and, allocating the intervention in a pre-defined order</w:t>
      </w:r>
      <w:r w:rsidR="002E76AC">
        <w:t xml:space="preserve">. </w:t>
      </w:r>
      <w:r w:rsidR="002E76AC" w:rsidRPr="00D03252">
        <w:rPr>
          <w:color w:val="FF0000"/>
        </w:rPr>
        <w:t>[</w:t>
      </w:r>
      <w:proofErr w:type="gramStart"/>
      <w:r w:rsidR="002E76AC" w:rsidRPr="00D03252">
        <w:rPr>
          <w:color w:val="FF0000"/>
        </w:rPr>
        <w:t>update</w:t>
      </w:r>
      <w:proofErr w:type="gramEnd"/>
      <w:r w:rsidR="002E76AC" w:rsidRPr="00D03252">
        <w:rPr>
          <w:color w:val="FF0000"/>
        </w:rPr>
        <w:t xml:space="preserve"> 2017-06: </w:t>
      </w:r>
      <w:r w:rsidR="00D03252" w:rsidRPr="00D03252">
        <w:rPr>
          <w:color w:val="FF0000"/>
        </w:rPr>
        <w:t xml:space="preserve">giving the total number of cluster and the number per country, the allocation procedure will be as follow per country: </w:t>
      </w:r>
      <w:r w:rsidR="002E76AC" w:rsidRPr="00D03252">
        <w:rPr>
          <w:color w:val="FF0000"/>
        </w:rPr>
        <w:t>the Control intervention to the first 8 clusters, IVM or BTI to the next 8, BCC to the next 6 an</w:t>
      </w:r>
      <w:r w:rsidR="00D03252" w:rsidRPr="00D03252">
        <w:rPr>
          <w:color w:val="FF0000"/>
        </w:rPr>
        <w:t>d IRS to the remaining clusters</w:t>
      </w:r>
      <w:r w:rsidR="002E76AC" w:rsidRPr="00D03252">
        <w:rPr>
          <w:color w:val="FF0000"/>
        </w:rPr>
        <w:t>.</w:t>
      </w:r>
      <w:r w:rsidR="00D03252" w:rsidRPr="00D03252">
        <w:rPr>
          <w:color w:val="FF0000"/>
        </w:rPr>
        <w:t>]</w:t>
      </w:r>
      <w:r w:rsidR="00F172BF" w:rsidRPr="00D03252">
        <w:rPr>
          <w:color w:val="FF0000"/>
        </w:rPr>
        <w:t> </w:t>
      </w:r>
    </w:p>
    <w:p w:rsidR="00D03252" w:rsidRPr="002E76AC" w:rsidRDefault="00D03252" w:rsidP="002E76AC">
      <w:pPr>
        <w:pStyle w:val="Sansinterligne"/>
      </w:pPr>
    </w:p>
    <w:p w:rsidR="00F172BF" w:rsidRPr="00F172BF" w:rsidRDefault="00F172BF" w:rsidP="005838ED">
      <w:pPr>
        <w:pStyle w:val="Titre2"/>
        <w:rPr>
          <w:rFonts w:eastAsia="Times New Roman"/>
        </w:rPr>
      </w:pPr>
      <w:r w:rsidRPr="00F172BF">
        <w:rPr>
          <w:rFonts w:eastAsia="Times New Roman"/>
        </w:rPr>
        <w:t>Blinding</w:t>
      </w:r>
    </w:p>
    <w:p w:rsidR="00F172BF" w:rsidRDefault="00D03252" w:rsidP="005838ED">
      <w:pPr>
        <w:jc w:val="both"/>
      </w:pPr>
      <w:r>
        <w:t>We will mask field and laboratory staff who participated in the epidemiological surveys to the interventions implemented in the villages. It is not possible to mask either the investigators or the participants to the implementation of any of the interventions.</w:t>
      </w:r>
    </w:p>
    <w:p w:rsidR="00BB1DC5" w:rsidRPr="00F172BF" w:rsidRDefault="00BB1DC5" w:rsidP="005838ED">
      <w:pPr>
        <w:jc w:val="both"/>
        <w:rPr>
          <w:rFonts w:ascii="Times New Roman" w:eastAsia="Times New Roman" w:hAnsi="Times New Roman" w:cs="Times New Roman"/>
          <w:sz w:val="24"/>
          <w:szCs w:val="24"/>
        </w:rPr>
      </w:pPr>
    </w:p>
    <w:p w:rsidR="00D03252" w:rsidRPr="00D03252" w:rsidRDefault="00BB1DC5" w:rsidP="005838ED">
      <w:pPr>
        <w:pStyle w:val="Titre2"/>
        <w:rPr>
          <w:rFonts w:eastAsia="Times New Roman"/>
        </w:rPr>
      </w:pPr>
      <w:r>
        <w:rPr>
          <w:rFonts w:eastAsia="Times New Roman"/>
        </w:rPr>
        <w:t>Collection of outcomes</w:t>
      </w:r>
    </w:p>
    <w:p w:rsidR="00D03252" w:rsidRPr="00D03252" w:rsidRDefault="00D03252" w:rsidP="002F4F45">
      <w:pPr>
        <w:pStyle w:val="Sansinterligne"/>
        <w:jc w:val="both"/>
      </w:pPr>
      <w:r w:rsidRPr="00D03252">
        <w:t xml:space="preserve">Malaria incidence density will be recorded </w:t>
      </w:r>
      <w:r w:rsidR="005358CD">
        <w:t>by passive case detection in</w:t>
      </w:r>
      <w:r w:rsidRPr="00D03252">
        <w:t xml:space="preserve"> proximity health centers. Nurses from our team, one per country, will retrieve consultation data from the center registries using forms embedded in tablets. Consultation from all people recorded as residents of the study villages will be retrieved and those with a diagnostic (based on rapid diagnostic tests and clinical evaluation) of either simple or severe malaria will be considered for analyses.</w:t>
      </w:r>
    </w:p>
    <w:p w:rsidR="00D03252" w:rsidRPr="005838ED" w:rsidRDefault="00D03252" w:rsidP="002F4F45">
      <w:pPr>
        <w:spacing w:before="100" w:beforeAutospacing="1" w:after="100" w:afterAutospacing="1" w:line="240" w:lineRule="auto"/>
        <w:jc w:val="both"/>
      </w:pPr>
      <w:r w:rsidRPr="005838ED">
        <w:rPr>
          <w:rFonts w:eastAsia="Times New Roman" w:cs="Times New Roman"/>
        </w:rPr>
        <w:t xml:space="preserve">Case prevalence and prevalence of infection data will be collected through cross-sectional survey (3 during both pre- and post-intervention year). </w:t>
      </w:r>
      <w:r w:rsidRPr="005838ED">
        <w:t xml:space="preserve">Target population for the CSS will be the youngest 50 % of the population (i.e. target size of 150 people) which </w:t>
      </w:r>
      <w:r w:rsidR="005358CD" w:rsidRPr="005838ED">
        <w:t xml:space="preserve">will approximately </w:t>
      </w:r>
      <w:r w:rsidRPr="005838ED">
        <w:t xml:space="preserve">correspond to, according to our </w:t>
      </w:r>
      <w:r w:rsidR="005358CD" w:rsidRPr="005838ED">
        <w:t>population structure</w:t>
      </w:r>
      <w:r w:rsidRPr="005838ED">
        <w:t>, individuals aged 0 to 18 years</w:t>
      </w:r>
      <w:r w:rsidR="005358CD" w:rsidRPr="005838ED">
        <w:t>. Data will be</w:t>
      </w:r>
      <w:r w:rsidRPr="005838ED">
        <w:t xml:space="preserve"> collected in each country by teams of qualified nurses and laboratory technicians, operating under the supervision of a medical doctor</w:t>
      </w:r>
      <w:r w:rsidR="005358CD" w:rsidRPr="005838ED">
        <w:t xml:space="preserve">. </w:t>
      </w:r>
      <w:r w:rsidRPr="005838ED">
        <w:t>Participant</w:t>
      </w:r>
      <w:r w:rsidR="005358CD" w:rsidRPr="005838ED">
        <w:t>s and their legal guardians will be</w:t>
      </w:r>
      <w:r w:rsidRPr="005838ED">
        <w:t xml:space="preserve"> invited to gather in the village center. Field staff </w:t>
      </w:r>
      <w:r w:rsidR="005358CD" w:rsidRPr="005838ED">
        <w:t>will conduct</w:t>
      </w:r>
      <w:r w:rsidRPr="005838ED">
        <w:t xml:space="preserve"> interviews with participants prior to clinical evaluations (including a physical examinations and axillary temper</w:t>
      </w:r>
      <w:r w:rsidR="00462529">
        <w:t>ature measurement) and perform</w:t>
      </w:r>
      <w:r w:rsidRPr="005838ED">
        <w:t xml:space="preserve"> a thick and thin blood smear. Participants showing a temperature higher than 37.5°C or with a rec</w:t>
      </w:r>
      <w:r w:rsidR="005358CD" w:rsidRPr="005838ED">
        <w:t>ent history of fever (&lt;48h) will be</w:t>
      </w:r>
      <w:r w:rsidRPr="005838ED">
        <w:t xml:space="preserve"> tested for </w:t>
      </w:r>
      <w:r w:rsidRPr="005838ED">
        <w:rPr>
          <w:i/>
          <w:iCs/>
        </w:rPr>
        <w:t>Plasmodium</w:t>
      </w:r>
      <w:r w:rsidRPr="005838ED">
        <w:t xml:space="preserve"> infection using a rapid diagnostic test (RDT) to allow rapid medical care (prescription of an ACT treatment or refe</w:t>
      </w:r>
      <w:r w:rsidR="005358CD" w:rsidRPr="005838ED">
        <w:t>rring to the nearest hospital).</w:t>
      </w:r>
    </w:p>
    <w:p w:rsidR="005358CD" w:rsidRPr="005838ED" w:rsidRDefault="005358CD" w:rsidP="002F4F45">
      <w:pPr>
        <w:spacing w:before="100" w:beforeAutospacing="1" w:after="100" w:afterAutospacing="1" w:line="240" w:lineRule="auto"/>
        <w:jc w:val="both"/>
        <w:rPr>
          <w:rFonts w:eastAsia="Times New Roman" w:cs="Times New Roman"/>
        </w:rPr>
      </w:pPr>
      <w:r w:rsidRPr="005838ED">
        <w:t>Entomological outcomes will be collected through entomological bi-monthly surveys. These surveys will consist in human landing collections both indoors and outdoors (position) of four houses (sites) in each villages. In each site, mosquitoes will be collected from 17:00 to 09:00 for one night per survey. Collectors will be rotated hourly among collection positions and sites. Mosquitoes will be morphologically identified and conditioned for the transport to the labs (at IRSS and IPR) where molec</w:t>
      </w:r>
      <w:r w:rsidR="008F1BA3" w:rsidRPr="005838ED">
        <w:t>ular analyses will be</w:t>
      </w:r>
      <w:r w:rsidRPr="005838ED">
        <w:t xml:space="preserve"> performed. Molecular analyses will consist in species identification of mosquito belonging to the </w:t>
      </w:r>
      <w:r w:rsidRPr="005838ED">
        <w:rPr>
          <w:i/>
          <w:iCs/>
        </w:rPr>
        <w:t xml:space="preserve">Anopheles </w:t>
      </w:r>
      <w:proofErr w:type="spellStart"/>
      <w:r w:rsidRPr="005838ED">
        <w:rPr>
          <w:i/>
          <w:iCs/>
        </w:rPr>
        <w:t>gambiae</w:t>
      </w:r>
      <w:proofErr w:type="spellEnd"/>
      <w:r w:rsidRPr="005838ED">
        <w:t xml:space="preserve"> Complex and to the </w:t>
      </w:r>
      <w:r w:rsidRPr="005838ED">
        <w:rPr>
          <w:i/>
          <w:iCs/>
        </w:rPr>
        <w:t xml:space="preserve">Anopheles </w:t>
      </w:r>
      <w:proofErr w:type="spellStart"/>
      <w:r w:rsidRPr="005838ED">
        <w:rPr>
          <w:i/>
          <w:iCs/>
        </w:rPr>
        <w:t>funestus</w:t>
      </w:r>
      <w:proofErr w:type="spellEnd"/>
      <w:r w:rsidRPr="005838ED">
        <w:t xml:space="preserve"> Group, to the detection of </w:t>
      </w:r>
      <w:r w:rsidRPr="005838ED">
        <w:rPr>
          <w:i/>
        </w:rPr>
        <w:t>Plasmodium falciparum</w:t>
      </w:r>
      <w:r w:rsidRPr="005838ED">
        <w:t xml:space="preserve"> DNA in head-thorax and, the detection of three insecticide resistance target site mutations (L1014F, L1014S, </w:t>
      </w:r>
      <w:proofErr w:type="gramStart"/>
      <w:r w:rsidRPr="005838ED">
        <w:t>G119S</w:t>
      </w:r>
      <w:proofErr w:type="gramEnd"/>
      <w:r w:rsidRPr="005838ED">
        <w:t>).</w:t>
      </w:r>
    </w:p>
    <w:p w:rsidR="00F172BF" w:rsidRPr="00F172BF" w:rsidRDefault="00BB1DC5" w:rsidP="005838ED">
      <w:pPr>
        <w:pStyle w:val="Titre2"/>
        <w:rPr>
          <w:rFonts w:eastAsia="Times New Roman"/>
        </w:rPr>
      </w:pPr>
      <w:r>
        <w:rPr>
          <w:rFonts w:eastAsia="Times New Roman"/>
        </w:rPr>
        <w:br/>
        <w:t>Data management</w:t>
      </w:r>
    </w:p>
    <w:p w:rsidR="008F1BA3" w:rsidRDefault="003B6A96" w:rsidP="0070395A">
      <w:pPr>
        <w:jc w:val="both"/>
      </w:pPr>
      <w:r>
        <w:t xml:space="preserve">To reduce risks of error in data entry and reporting, we will use and develop </w:t>
      </w:r>
      <w:r w:rsidRPr="003B6A96">
        <w:t>electronic data capture (EDC) systems</w:t>
      </w:r>
      <w:r>
        <w:t xml:space="preserve"> (on tablets and laptops) with automatic backups (as soon as an internet connection is available) on </w:t>
      </w:r>
      <w:r w:rsidRPr="003B6A96">
        <w:t>secured remote server</w:t>
      </w:r>
      <w:r>
        <w:t>.</w:t>
      </w:r>
      <w:r w:rsidR="0070395A">
        <w:t xml:space="preserve"> Access to data (after de-identification) will be opened to each project investigators. </w:t>
      </w:r>
      <w:r w:rsidR="00462529">
        <w:t>A dedicated data manager will work on the trial.</w:t>
      </w:r>
    </w:p>
    <w:p w:rsidR="00F172BF" w:rsidRPr="00F172BF" w:rsidRDefault="00F172BF" w:rsidP="00AB6178">
      <w:pPr>
        <w:pStyle w:val="Titre1"/>
      </w:pPr>
      <w:r w:rsidRPr="00F172BF">
        <w:br/>
        <w:t>Statistical methods</w:t>
      </w:r>
    </w:p>
    <w:p w:rsidR="00F172BF" w:rsidRPr="00F172BF" w:rsidRDefault="00F172BF" w:rsidP="00BB1DC5">
      <w:pPr>
        <w:pStyle w:val="Titre2"/>
        <w:rPr>
          <w:rFonts w:eastAsia="Times New Roman"/>
        </w:rPr>
      </w:pPr>
      <w:r w:rsidRPr="00F172BF">
        <w:rPr>
          <w:rFonts w:eastAsia="Times New Roman"/>
        </w:rPr>
        <w:t>Statistical methods for prim</w:t>
      </w:r>
      <w:r w:rsidR="00BB1DC5">
        <w:rPr>
          <w:rFonts w:eastAsia="Times New Roman"/>
        </w:rPr>
        <w:t>ary and secondary outcomes</w:t>
      </w:r>
    </w:p>
    <w:p w:rsidR="0033143B" w:rsidRDefault="0033143B" w:rsidP="00BB1DC5">
      <w:pPr>
        <w:spacing w:before="100" w:beforeAutospacing="1" w:after="100" w:afterAutospacing="1" w:line="240" w:lineRule="auto"/>
        <w:jc w:val="both"/>
        <w:rPr>
          <w:color w:val="FF0000"/>
        </w:rPr>
      </w:pPr>
      <w:r>
        <w:t xml:space="preserve">Binary, discrete, and continuous outcomes will be analyzed using either binomial, negative-binomial or Gaussian mixed-effect models, respectively. We will perform intention-to-treat analyses of the primary outcomes using a constrained baseline analysis approach that is adapted to randomized designs with multiple pre- and post-intervention measures of the outcomes. This is a special case of stepped-wedge design analysis. Models will deal with both temporal and spatial autocorrelation. </w:t>
      </w:r>
      <w:r w:rsidR="00BB1DC5">
        <w:t xml:space="preserve">Age of participants will be considered for adjustments and for interaction analysis (i.e. comparison of effect-size). </w:t>
      </w:r>
      <w:r w:rsidR="00BB1DC5" w:rsidRPr="00D03252">
        <w:rPr>
          <w:color w:val="FF0000"/>
        </w:rPr>
        <w:t>[</w:t>
      </w:r>
      <w:proofErr w:type="gramStart"/>
      <w:r w:rsidR="00BB1DC5" w:rsidRPr="00D03252">
        <w:rPr>
          <w:color w:val="FF0000"/>
        </w:rPr>
        <w:t>update</w:t>
      </w:r>
      <w:proofErr w:type="gramEnd"/>
      <w:r w:rsidR="00BB1DC5" w:rsidRPr="00D03252">
        <w:rPr>
          <w:color w:val="FF0000"/>
        </w:rPr>
        <w:t xml:space="preserve"> 2017-06:</w:t>
      </w:r>
      <w:r w:rsidR="00BB1DC5">
        <w:rPr>
          <w:color w:val="FF0000"/>
        </w:rPr>
        <w:t xml:space="preserve"> giving that BCC and IRS will be deployed in both areas, area will be considered for adjustment and interaction analysis). </w:t>
      </w:r>
    </w:p>
    <w:p w:rsidR="00F3679A" w:rsidRDefault="00BB1DC5" w:rsidP="00BB1DC5">
      <w:pPr>
        <w:spacing w:before="100" w:beforeAutospacing="1" w:after="100" w:afterAutospacing="1" w:line="240" w:lineRule="auto"/>
        <w:jc w:val="both"/>
      </w:pPr>
      <w:r w:rsidRPr="00BB1DC5">
        <w:t>Although</w:t>
      </w:r>
      <w:r>
        <w:t xml:space="preserve"> baseline constrained analyses are known to deal well with missing participants, sensitivity analyses (excluding participants missing either at pre- or post-intervention periods) will be planned.</w:t>
      </w:r>
    </w:p>
    <w:p w:rsidR="00AB6178" w:rsidRDefault="00AB6178" w:rsidP="00BB1DC5">
      <w:pPr>
        <w:spacing w:before="100" w:beforeAutospacing="1" w:after="100" w:afterAutospacing="1" w:line="240" w:lineRule="auto"/>
        <w:jc w:val="both"/>
      </w:pPr>
    </w:p>
    <w:p w:rsidR="00AB6178" w:rsidRDefault="00AB6178" w:rsidP="00AB6178">
      <w:pPr>
        <w:pStyle w:val="Titre1"/>
      </w:pPr>
      <w:r>
        <w:t>Ethics considerations</w:t>
      </w:r>
    </w:p>
    <w:p w:rsidR="00AB6178" w:rsidRDefault="00AB6178" w:rsidP="00AF3172">
      <w:pPr>
        <w:jc w:val="both"/>
      </w:pPr>
      <w:r w:rsidRPr="00AB6178">
        <w:t>The trial will be carried out in accordance with the principles of the Declaration of Helsinki (1996) (http://www.wma.net/en/30publications/10policies/b3/), the CIH-BPC guidelines and in compliance with all regulatory requirem</w:t>
      </w:r>
      <w:r>
        <w:t>ents applicable in Burkina Faso and Côte d’Ivoire.</w:t>
      </w:r>
    </w:p>
    <w:p w:rsidR="00065CAC" w:rsidRDefault="00065CAC" w:rsidP="00AF3172">
      <w:pPr>
        <w:jc w:val="both"/>
      </w:pPr>
      <w:r>
        <w:t xml:space="preserve">The trial was approved by the </w:t>
      </w:r>
      <w:proofErr w:type="spellStart"/>
      <w:r>
        <w:t>Comité</w:t>
      </w:r>
      <w:proofErr w:type="spellEnd"/>
      <w:r>
        <w:t xml:space="preserve"> National </w:t>
      </w:r>
      <w:proofErr w:type="spellStart"/>
      <w:r>
        <w:t>d’Ethique</w:t>
      </w:r>
      <w:proofErr w:type="spellEnd"/>
      <w:r>
        <w:t xml:space="preserve"> de la </w:t>
      </w:r>
      <w:proofErr w:type="spellStart"/>
      <w:r>
        <w:t>Recherche</w:t>
      </w:r>
      <w:proofErr w:type="spellEnd"/>
      <w:r>
        <w:t xml:space="preserve"> (CNER) in Côte d’Ivoire (ref. 063/MSHP/CNER-</w:t>
      </w:r>
      <w:proofErr w:type="spellStart"/>
      <w:r>
        <w:t>kp</w:t>
      </w:r>
      <w:proofErr w:type="spellEnd"/>
      <w:r>
        <w:t xml:space="preserve">) and the </w:t>
      </w:r>
      <w:proofErr w:type="spellStart"/>
      <w:r>
        <w:t>Comité</w:t>
      </w:r>
      <w:proofErr w:type="spellEnd"/>
      <w:r>
        <w:t xml:space="preserve"> </w:t>
      </w:r>
      <w:proofErr w:type="spellStart"/>
      <w:r>
        <w:t>d’Ethique</w:t>
      </w:r>
      <w:proofErr w:type="spellEnd"/>
      <w:r>
        <w:t xml:space="preserve"> </w:t>
      </w:r>
      <w:proofErr w:type="spellStart"/>
      <w:r>
        <w:t>Institutionel</w:t>
      </w:r>
      <w:proofErr w:type="spellEnd"/>
      <w:r>
        <w:t xml:space="preserve"> pour la </w:t>
      </w:r>
      <w:proofErr w:type="spellStart"/>
      <w:proofErr w:type="gramStart"/>
      <w:r>
        <w:t>Recherche</w:t>
      </w:r>
      <w:proofErr w:type="spellEnd"/>
      <w:proofErr w:type="gramEnd"/>
      <w:r>
        <w:t xml:space="preserve"> en Santé (CEIRES) of the </w:t>
      </w:r>
      <w:proofErr w:type="spellStart"/>
      <w:r>
        <w:t>Institut</w:t>
      </w:r>
      <w:proofErr w:type="spellEnd"/>
      <w:r>
        <w:t xml:space="preserve"> de </w:t>
      </w:r>
      <w:proofErr w:type="spellStart"/>
      <w:r>
        <w:t>Recherche</w:t>
      </w:r>
      <w:proofErr w:type="spellEnd"/>
      <w:r>
        <w:t xml:space="preserve"> en Sciences de la Santé in Burkina Faso (ref. A06-2016/CEIRES). Community or village chiefs, parents or guardians of participants to epidemiological surveys, mosquito collectors, owners of collection houses and, owners of sprayed houses gave their written informed consent.</w:t>
      </w:r>
    </w:p>
    <w:p w:rsidR="00AB6178" w:rsidRPr="00BB1DC5" w:rsidRDefault="00AB6178" w:rsidP="00BB1DC5">
      <w:pPr>
        <w:spacing w:before="100" w:beforeAutospacing="1" w:after="100" w:afterAutospacing="1" w:line="240" w:lineRule="auto"/>
        <w:jc w:val="both"/>
        <w:rPr>
          <w:rFonts w:ascii="Times New Roman" w:eastAsia="Times New Roman" w:hAnsi="Times New Roman" w:cs="Times New Roman"/>
          <w:sz w:val="24"/>
          <w:szCs w:val="24"/>
        </w:rPr>
      </w:pPr>
    </w:p>
    <w:sectPr w:rsidR="00AB6178" w:rsidRPr="00BB1DC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B42081"/>
    <w:multiLevelType w:val="multilevel"/>
    <w:tmpl w:val="72ACD524"/>
    <w:lvl w:ilvl="0">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466D7E5A"/>
    <w:multiLevelType w:val="multilevel"/>
    <w:tmpl w:val="247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EB6EF7"/>
    <w:multiLevelType w:val="multilevel"/>
    <w:tmpl w:val="9C8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2BF"/>
    <w:rsid w:val="000514F3"/>
    <w:rsid w:val="00065CAC"/>
    <w:rsid w:val="00070132"/>
    <w:rsid w:val="000709F2"/>
    <w:rsid w:val="000736CB"/>
    <w:rsid w:val="000C453D"/>
    <w:rsid w:val="001152FA"/>
    <w:rsid w:val="002E76AC"/>
    <w:rsid w:val="002F0D36"/>
    <w:rsid w:val="002F4F45"/>
    <w:rsid w:val="0033143B"/>
    <w:rsid w:val="003B6A96"/>
    <w:rsid w:val="003E0667"/>
    <w:rsid w:val="003F4BA9"/>
    <w:rsid w:val="0046051E"/>
    <w:rsid w:val="00462529"/>
    <w:rsid w:val="004654DB"/>
    <w:rsid w:val="004E3CA6"/>
    <w:rsid w:val="00525301"/>
    <w:rsid w:val="005358CD"/>
    <w:rsid w:val="005838ED"/>
    <w:rsid w:val="00702248"/>
    <w:rsid w:val="0070395A"/>
    <w:rsid w:val="00781AF9"/>
    <w:rsid w:val="00855A52"/>
    <w:rsid w:val="008F1BA3"/>
    <w:rsid w:val="00904C50"/>
    <w:rsid w:val="009870D3"/>
    <w:rsid w:val="00A1500C"/>
    <w:rsid w:val="00AB6178"/>
    <w:rsid w:val="00AF3172"/>
    <w:rsid w:val="00BB1DC5"/>
    <w:rsid w:val="00BC53BA"/>
    <w:rsid w:val="00C40F65"/>
    <w:rsid w:val="00CF7D65"/>
    <w:rsid w:val="00D03252"/>
    <w:rsid w:val="00D73D27"/>
    <w:rsid w:val="00DA701C"/>
    <w:rsid w:val="00E52675"/>
    <w:rsid w:val="00E96324"/>
    <w:rsid w:val="00EF257C"/>
    <w:rsid w:val="00F05F18"/>
    <w:rsid w:val="00F16EDC"/>
    <w:rsid w:val="00F172BF"/>
    <w:rsid w:val="00F9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95AB4-062D-4940-B7D8-E6E78B74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02248"/>
    <w:pPr>
      <w:spacing w:before="100" w:beforeAutospacing="1" w:after="100" w:afterAutospacing="1" w:line="240" w:lineRule="auto"/>
      <w:outlineLvl w:val="0"/>
    </w:pPr>
    <w:rPr>
      <w:rFonts w:ascii="Arial" w:eastAsia="Times New Roman" w:hAnsi="Arial" w:cs="Times New Roman"/>
      <w:b/>
      <w:bCs/>
      <w:kern w:val="36"/>
      <w:sz w:val="40"/>
      <w:szCs w:val="48"/>
    </w:rPr>
  </w:style>
  <w:style w:type="paragraph" w:styleId="Titre2">
    <w:name w:val="heading 2"/>
    <w:basedOn w:val="Normal"/>
    <w:next w:val="Normal"/>
    <w:link w:val="Titre2Car"/>
    <w:uiPriority w:val="9"/>
    <w:unhideWhenUsed/>
    <w:qFormat/>
    <w:rsid w:val="007022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F172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2248"/>
    <w:rPr>
      <w:rFonts w:ascii="Arial" w:eastAsia="Times New Roman" w:hAnsi="Arial" w:cs="Times New Roman"/>
      <w:b/>
      <w:bCs/>
      <w:kern w:val="36"/>
      <w:sz w:val="40"/>
      <w:szCs w:val="48"/>
    </w:rPr>
  </w:style>
  <w:style w:type="character" w:customStyle="1" w:styleId="Titre3Car">
    <w:name w:val="Titre 3 Car"/>
    <w:basedOn w:val="Policepardfaut"/>
    <w:link w:val="Titre3"/>
    <w:uiPriority w:val="9"/>
    <w:rsid w:val="00F172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72BF"/>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F172BF"/>
    <w:rPr>
      <w:i/>
      <w:iCs/>
    </w:rPr>
  </w:style>
  <w:style w:type="character" w:styleId="lev">
    <w:name w:val="Strong"/>
    <w:basedOn w:val="Policepardfaut"/>
    <w:uiPriority w:val="22"/>
    <w:qFormat/>
    <w:rsid w:val="00F172BF"/>
    <w:rPr>
      <w:b/>
      <w:bCs/>
    </w:rPr>
  </w:style>
  <w:style w:type="character" w:styleId="Lienhypertexte">
    <w:name w:val="Hyperlink"/>
    <w:basedOn w:val="Policepardfaut"/>
    <w:uiPriority w:val="99"/>
    <w:semiHidden/>
    <w:unhideWhenUsed/>
    <w:rsid w:val="00F172BF"/>
    <w:rPr>
      <w:color w:val="0000FF"/>
      <w:u w:val="single"/>
    </w:rPr>
  </w:style>
  <w:style w:type="paragraph" w:styleId="Sansinterligne">
    <w:name w:val="No Spacing"/>
    <w:uiPriority w:val="1"/>
    <w:qFormat/>
    <w:rsid w:val="00904C50"/>
    <w:pPr>
      <w:spacing w:after="0" w:line="240" w:lineRule="auto"/>
    </w:pPr>
  </w:style>
  <w:style w:type="paragraph" w:styleId="Paragraphedeliste">
    <w:name w:val="List Paragraph"/>
    <w:basedOn w:val="Normal"/>
    <w:uiPriority w:val="34"/>
    <w:qFormat/>
    <w:rsid w:val="00F92B70"/>
    <w:pPr>
      <w:ind w:left="720"/>
      <w:contextualSpacing/>
    </w:pPr>
  </w:style>
  <w:style w:type="character" w:customStyle="1" w:styleId="Titre2Car">
    <w:name w:val="Titre 2 Car"/>
    <w:basedOn w:val="Policepardfaut"/>
    <w:link w:val="Titre2"/>
    <w:uiPriority w:val="9"/>
    <w:rsid w:val="00702248"/>
    <w:rPr>
      <w:rFonts w:asciiTheme="majorHAnsi" w:eastAsiaTheme="majorEastAsia" w:hAnsiTheme="majorHAnsi" w:cstheme="majorBidi"/>
      <w:color w:val="2E74B5" w:themeColor="accent1" w:themeShade="BF"/>
      <w:sz w:val="26"/>
      <w:szCs w:val="26"/>
    </w:rPr>
  </w:style>
  <w:style w:type="table" w:styleId="Grilledutableau">
    <w:name w:val="Table Grid"/>
    <w:basedOn w:val="TableauNormal"/>
    <w:uiPriority w:val="39"/>
    <w:rsid w:val="00AB61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835863">
      <w:bodyDiv w:val="1"/>
      <w:marLeft w:val="0"/>
      <w:marRight w:val="0"/>
      <w:marTop w:val="0"/>
      <w:marBottom w:val="0"/>
      <w:divBdr>
        <w:top w:val="none" w:sz="0" w:space="0" w:color="auto"/>
        <w:left w:val="none" w:sz="0" w:space="0" w:color="auto"/>
        <w:bottom w:val="none" w:sz="0" w:space="0" w:color="auto"/>
        <w:right w:val="none" w:sz="0" w:space="0" w:color="auto"/>
      </w:divBdr>
    </w:div>
    <w:div w:id="183561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E181A-799B-41E1-8095-639573640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1868</TotalTime>
  <Pages>8</Pages>
  <Words>2894</Words>
  <Characters>16501</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13</cp:revision>
  <dcterms:created xsi:type="dcterms:W3CDTF">2024-10-22T09:18:00Z</dcterms:created>
  <dcterms:modified xsi:type="dcterms:W3CDTF">2025-06-30T10:17:00Z</dcterms:modified>
</cp:coreProperties>
</file>