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FD6" w:rsidRPr="00C677B1" w:rsidRDefault="00C31FD6" w:rsidP="00C31FD6">
      <w:pPr>
        <w:spacing w:line="480" w:lineRule="auto"/>
        <w:ind w:firstLine="709"/>
        <w:rPr>
          <w:b/>
          <w:bCs/>
          <w:sz w:val="28"/>
          <w:szCs w:val="28"/>
        </w:rPr>
      </w:pPr>
      <w:r w:rsidRPr="001A5456">
        <w:rPr>
          <w:b/>
          <w:bCs/>
          <w:sz w:val="28"/>
          <w:szCs w:val="28"/>
        </w:rPr>
        <w:t xml:space="preserve">1.1. </w:t>
      </w:r>
      <w:r>
        <w:rPr>
          <w:b/>
          <w:bCs/>
          <w:sz w:val="28"/>
          <w:szCs w:val="28"/>
        </w:rPr>
        <w:t>Понятие и виды производственно-сбытовых издержек</w:t>
      </w:r>
    </w:p>
    <w:p w:rsidR="00C31FD6" w:rsidRPr="00C435A9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>
        <w:rPr>
          <w:rFonts w:ascii="Arial" w:hAnsi="Arial" w:cs="Arial"/>
          <w:color w:val="000000"/>
        </w:rPr>
        <w:tab/>
      </w:r>
      <w:r w:rsidRPr="00853BF0">
        <w:rPr>
          <w:color w:val="000000"/>
        </w:rPr>
        <w:t xml:space="preserve">Каждая производственная единица (предприятие) любого общества стремится к получению возможно большего дохода от своей деятельности. Любое предприятие старается не только продать свой товар по выгодной высокой цене, но и сократить свои затраты на производство и реализацию продукции. </w:t>
      </w:r>
      <w:proofErr w:type="gramStart"/>
      <w:r w:rsidRPr="00853BF0">
        <w:rPr>
          <w:color w:val="000000"/>
        </w:rPr>
        <w:t>Если первый источник увеличения доходов предприятия во многом зависит от внешних условий деятельности предприятия, то второй - практически исключительно от самого предприятия, точнее, от степени эффективности организации процесса производства и последующей реализации произведенных товаров, то есть прежде чем начать производство продукции, необходимо определить цель своей деятельности, а именно: какую прибыль, какой доход можно получить, учитывая при этом понесённые затраты – издержки предприятия</w:t>
      </w:r>
      <w:proofErr w:type="gramEnd"/>
      <w:r w:rsidRPr="00853BF0">
        <w:rPr>
          <w:color w:val="000000"/>
        </w:rPr>
        <w:t>.</w:t>
      </w:r>
    </w:p>
    <w:p w:rsidR="00C31FD6" w:rsidRPr="00C435A9" w:rsidRDefault="00C31FD6" w:rsidP="00C31FD6">
      <w:pPr>
        <w:spacing w:after="100" w:afterAutospacing="1" w:line="360" w:lineRule="auto"/>
        <w:contextualSpacing/>
        <w:jc w:val="both"/>
        <w:rPr>
          <w:color w:val="000000"/>
        </w:rPr>
      </w:pPr>
      <w:r w:rsidRPr="00853BF0">
        <w:rPr>
          <w:color w:val="000000"/>
        </w:rPr>
        <w:tab/>
      </w:r>
      <w:r w:rsidRPr="00C435A9">
        <w:rPr>
          <w:color w:val="000000"/>
        </w:rPr>
        <w:t>Производственно-сбытовые издержки - совокупность расходов предприятия, выраженных в денежной форме, на производство и реализацию продукции, работ, услуг. К издержкам производства относят издержки на изготовление продукции. К издержкам обращения, или реализации, - расходы предприятия (фирмы) на проведение маркетинговых исследований, продвижение продукции на рынок, рекламу продукции, затраты на сопровождение, гарантийный надзор и устранение недостатков, выявленных в процессе эксплуатации, а также расходы на подготовку и освоение производства, подготовку кадров и другие расходы, связанные с извлечением прибыли.</w:t>
      </w:r>
    </w:p>
    <w:p w:rsidR="00C31FD6" w:rsidRPr="00853BF0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 w:rsidRPr="00853BF0">
        <w:rPr>
          <w:color w:val="000000"/>
        </w:rPr>
        <w:tab/>
      </w:r>
      <w:r w:rsidRPr="00C435A9">
        <w:rPr>
          <w:color w:val="000000"/>
        </w:rPr>
        <w:t>Снижение производственно-сбытовых издержек является существенным фактором роста конкурентоспособности организации. Так, снижение удельных издержек ведет при прочих равных условиях к росту конкурентоспособности продукции и, как следствие, - к росту объемов продаж и прибыли. Это позволяет предприятию инвестировать больше сре</w:t>
      </w:r>
      <w:proofErr w:type="gramStart"/>
      <w:r w:rsidRPr="00C435A9">
        <w:rPr>
          <w:color w:val="000000"/>
        </w:rPr>
        <w:t>дств в с</w:t>
      </w:r>
      <w:proofErr w:type="gramEnd"/>
      <w:r w:rsidRPr="00C435A9">
        <w:rPr>
          <w:color w:val="000000"/>
        </w:rPr>
        <w:t>овершенствование продукции и технологическое развитие организации (предприятия), что, в свою очередь, создает предпосылки к росту производительности труда и дальнейшему снижению затрат.</w:t>
      </w:r>
    </w:p>
    <w:p w:rsidR="00C31FD6" w:rsidRDefault="00C31FD6" w:rsidP="00C31FD6">
      <w:pPr>
        <w:spacing w:before="100" w:beforeAutospacing="1" w:after="100" w:afterAutospacing="1" w:line="360" w:lineRule="auto"/>
        <w:contextualSpacing/>
        <w:jc w:val="both"/>
        <w:rPr>
          <w:iCs/>
          <w:color w:val="000000"/>
        </w:rPr>
      </w:pPr>
      <w:r w:rsidRPr="00853BF0">
        <w:rPr>
          <w:color w:val="000000"/>
        </w:rPr>
        <w:tab/>
        <w:t>Производственно-сбытовые издержки в зависимости от целей и задач экономического анализа могут быть классифицированы по ряду признаков </w:t>
      </w:r>
      <w:r w:rsidRPr="00853BF0">
        <w:rPr>
          <w:iCs/>
          <w:color w:val="000000"/>
        </w:rPr>
        <w:t>(таблица 1)</w:t>
      </w:r>
    </w:p>
    <w:p w:rsidR="00C31FD6" w:rsidRDefault="00C31FD6" w:rsidP="00C31FD6">
      <w:pPr>
        <w:spacing w:before="100" w:beforeAutospacing="1" w:after="100" w:afterAutospacing="1" w:line="360" w:lineRule="auto"/>
        <w:contextualSpacing/>
        <w:jc w:val="both"/>
        <w:rPr>
          <w:iCs/>
          <w:color w:val="000000"/>
        </w:rPr>
      </w:pPr>
    </w:p>
    <w:p w:rsidR="00C31FD6" w:rsidRDefault="00C31FD6" w:rsidP="00C31FD6">
      <w:pPr>
        <w:spacing w:before="100" w:beforeAutospacing="1" w:after="100" w:afterAutospacing="1" w:line="360" w:lineRule="auto"/>
        <w:contextualSpacing/>
        <w:jc w:val="both"/>
        <w:rPr>
          <w:iCs/>
          <w:color w:val="000000"/>
        </w:rPr>
      </w:pPr>
    </w:p>
    <w:p w:rsidR="00C31FD6" w:rsidRPr="00853BF0" w:rsidRDefault="00C31FD6" w:rsidP="00C31FD6">
      <w:pPr>
        <w:spacing w:before="100" w:beforeAutospacing="1" w:after="100" w:afterAutospacing="1" w:line="360" w:lineRule="auto"/>
        <w:contextualSpacing/>
        <w:jc w:val="both"/>
        <w:rPr>
          <w:iCs/>
          <w:color w:val="000000"/>
        </w:rPr>
      </w:pPr>
    </w:p>
    <w:p w:rsidR="00C31FD6" w:rsidRPr="00C435A9" w:rsidRDefault="00C31FD6" w:rsidP="00C31FD6">
      <w:pPr>
        <w:spacing w:before="100" w:beforeAutospacing="1" w:after="100" w:afterAutospacing="1" w:line="360" w:lineRule="auto"/>
        <w:contextualSpacing/>
        <w:jc w:val="both"/>
        <w:rPr>
          <w:iCs/>
          <w:color w:val="000000"/>
        </w:rPr>
      </w:pPr>
    </w:p>
    <w:p w:rsidR="00C31FD6" w:rsidRPr="00976E20" w:rsidRDefault="00C31FD6" w:rsidP="00C31FD6">
      <w:pPr>
        <w:spacing w:before="100" w:beforeAutospacing="1"/>
        <w:rPr>
          <w:color w:val="000000"/>
        </w:rPr>
      </w:pPr>
      <w:r>
        <w:rPr>
          <w:color w:val="000000"/>
        </w:rPr>
        <w:t>Таблица 1.1 – Виды производственно-сбытовых издержек</w:t>
      </w:r>
    </w:p>
    <w:tbl>
      <w:tblPr>
        <w:tblW w:w="99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329"/>
        <w:gridCol w:w="6"/>
        <w:gridCol w:w="3625"/>
      </w:tblGrid>
      <w:tr w:rsidR="00C31FD6" w:rsidRPr="00976E20" w:rsidTr="003A6827">
        <w:trPr>
          <w:trHeight w:val="195"/>
        </w:trPr>
        <w:tc>
          <w:tcPr>
            <w:tcW w:w="63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:rsidR="00C31FD6" w:rsidRPr="00976E20" w:rsidRDefault="00C31FD6" w:rsidP="003A6827">
            <w:pPr>
              <w:spacing w:line="195" w:lineRule="atLeast"/>
              <w:rPr>
                <w:color w:val="000000"/>
              </w:rPr>
            </w:pPr>
            <w:r w:rsidRPr="00976E20">
              <w:rPr>
                <w:color w:val="000000"/>
              </w:rPr>
              <w:t>Признак классификации</w:t>
            </w:r>
          </w:p>
        </w:tc>
        <w:tc>
          <w:tcPr>
            <w:tcW w:w="36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C31FD6" w:rsidRPr="00976E20" w:rsidRDefault="00C31FD6" w:rsidP="003A6827">
            <w:pPr>
              <w:spacing w:line="195" w:lineRule="atLeast"/>
              <w:rPr>
                <w:color w:val="000000"/>
              </w:rPr>
            </w:pPr>
            <w:r w:rsidRPr="00976E20">
              <w:rPr>
                <w:color w:val="000000"/>
              </w:rPr>
              <w:t>Вид затрат (издержек)</w:t>
            </w:r>
          </w:p>
        </w:tc>
      </w:tr>
      <w:tr w:rsidR="00C31FD6" w:rsidRPr="00976E20" w:rsidTr="003A6827">
        <w:trPr>
          <w:trHeight w:val="665"/>
        </w:trPr>
        <w:tc>
          <w:tcPr>
            <w:tcW w:w="63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31FD6" w:rsidRPr="00C76508" w:rsidRDefault="00C31FD6" w:rsidP="003A6827">
            <w:pPr>
              <w:rPr>
                <w:color w:val="000000"/>
              </w:rPr>
            </w:pPr>
            <w:r w:rsidRPr="00C76508">
              <w:rPr>
                <w:color w:val="000000"/>
              </w:rPr>
              <w:lastRenderedPageBreak/>
              <w:t xml:space="preserve">В зависимости </w:t>
            </w:r>
            <w:proofErr w:type="gramStart"/>
            <w:r w:rsidRPr="00C76508">
              <w:rPr>
                <w:color w:val="000000"/>
              </w:rPr>
              <w:t>от</w:t>
            </w:r>
            <w:proofErr w:type="gramEnd"/>
            <w:r w:rsidRPr="00C76508">
              <w:rPr>
                <w:color w:val="000000"/>
              </w:rPr>
              <w:t xml:space="preserve"> </w:t>
            </w:r>
            <w:proofErr w:type="gramStart"/>
            <w:r w:rsidRPr="00C76508">
              <w:rPr>
                <w:color w:val="000000"/>
              </w:rPr>
              <w:t>специфике</w:t>
            </w:r>
            <w:proofErr w:type="gramEnd"/>
            <w:r w:rsidRPr="00C76508">
              <w:rPr>
                <w:color w:val="000000"/>
              </w:rPr>
              <w:t xml:space="preserve"> принимаемых решений</w:t>
            </w:r>
          </w:p>
        </w:tc>
        <w:tc>
          <w:tcPr>
            <w:tcW w:w="3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31FD6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Релевантные</w:t>
            </w:r>
          </w:p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Нерелевантные</w:t>
            </w:r>
          </w:p>
        </w:tc>
      </w:tr>
      <w:tr w:rsidR="00C31FD6" w:rsidRPr="00976E20" w:rsidTr="003A6827">
        <w:trPr>
          <w:trHeight w:val="600"/>
        </w:trPr>
        <w:tc>
          <w:tcPr>
            <w:tcW w:w="63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31FD6" w:rsidRPr="00C76508" w:rsidRDefault="00C31FD6" w:rsidP="003A6827">
            <w:pPr>
              <w:rPr>
                <w:color w:val="000000"/>
              </w:rPr>
            </w:pPr>
            <w:r w:rsidRPr="00C76508">
              <w:rPr>
                <w:color w:val="000000"/>
              </w:rPr>
              <w:t>По времени возникновения и отнесения к себестоимости продукции</w:t>
            </w:r>
          </w:p>
        </w:tc>
        <w:tc>
          <w:tcPr>
            <w:tcW w:w="3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Истекшего периода</w:t>
            </w:r>
          </w:p>
          <w:p w:rsidR="00C31FD6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Текущие</w:t>
            </w:r>
          </w:p>
          <w:p w:rsidR="00C31FD6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Будущего периода</w:t>
            </w:r>
          </w:p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Предстоящие</w:t>
            </w:r>
          </w:p>
        </w:tc>
      </w:tr>
      <w:tr w:rsidR="00C31FD6" w:rsidRPr="00976E20" w:rsidTr="003A6827">
        <w:trPr>
          <w:trHeight w:val="600"/>
        </w:trPr>
        <w:tc>
          <w:tcPr>
            <w:tcW w:w="63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31FD6" w:rsidRPr="00976E20" w:rsidRDefault="00C31FD6" w:rsidP="003A6827">
            <w:pPr>
              <w:rPr>
                <w:color w:val="000000"/>
              </w:rPr>
            </w:pPr>
            <w:r w:rsidRPr="00976E20">
              <w:rPr>
                <w:color w:val="000000"/>
              </w:rPr>
              <w:t>По характеру зависимости от объема производства</w:t>
            </w:r>
          </w:p>
        </w:tc>
        <w:tc>
          <w:tcPr>
            <w:tcW w:w="3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31FD6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Постоянные</w:t>
            </w:r>
          </w:p>
          <w:p w:rsidR="00C31FD6" w:rsidRPr="00EB3CD7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EB3CD7">
              <w:rPr>
                <w:color w:val="000000"/>
              </w:rPr>
              <w:t>Условно-переменные</w:t>
            </w:r>
          </w:p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Переменные</w:t>
            </w:r>
          </w:p>
        </w:tc>
      </w:tr>
      <w:tr w:rsidR="00C31FD6" w:rsidRPr="00976E20" w:rsidTr="003A6827">
        <w:trPr>
          <w:trHeight w:val="615"/>
        </w:trPr>
        <w:tc>
          <w:tcPr>
            <w:tcW w:w="63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31FD6" w:rsidRPr="00976E20" w:rsidRDefault="00C31FD6" w:rsidP="003A6827">
            <w:pPr>
              <w:rPr>
                <w:color w:val="000000"/>
              </w:rPr>
            </w:pPr>
            <w:r w:rsidRPr="00976E20">
              <w:rPr>
                <w:color w:val="000000"/>
              </w:rPr>
              <w:t>По объекту отнесения (месту возникновения)</w:t>
            </w:r>
          </w:p>
        </w:tc>
        <w:tc>
          <w:tcPr>
            <w:tcW w:w="3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На изделие (группу изделий)</w:t>
            </w:r>
          </w:p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На процесс</w:t>
            </w:r>
          </w:p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На</w:t>
            </w:r>
            <w:r w:rsidRPr="00853BF0">
              <w:rPr>
                <w:color w:val="000000"/>
              </w:rPr>
              <w:t xml:space="preserve"> </w:t>
            </w:r>
            <w:r w:rsidRPr="00976E20">
              <w:rPr>
                <w:color w:val="000000"/>
              </w:rPr>
              <w:t>структурное</w:t>
            </w:r>
            <w:r w:rsidRPr="00853BF0">
              <w:rPr>
                <w:color w:val="000000"/>
              </w:rPr>
              <w:t xml:space="preserve"> </w:t>
            </w:r>
            <w:r w:rsidRPr="00976E20">
              <w:rPr>
                <w:color w:val="000000"/>
              </w:rPr>
              <w:t>подразделение</w:t>
            </w:r>
          </w:p>
        </w:tc>
      </w:tr>
      <w:tr w:rsidR="00C31FD6" w:rsidRPr="00976E20" w:rsidTr="003A6827">
        <w:trPr>
          <w:trHeight w:val="480"/>
        </w:trPr>
        <w:tc>
          <w:tcPr>
            <w:tcW w:w="63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31FD6" w:rsidRPr="00976E20" w:rsidRDefault="00C31FD6" w:rsidP="003A6827">
            <w:pPr>
              <w:rPr>
                <w:color w:val="000000"/>
              </w:rPr>
            </w:pPr>
            <w:r w:rsidRPr="00976E20">
              <w:rPr>
                <w:color w:val="000000"/>
              </w:rPr>
              <w:t>По способу отнесения затрат на единицу определенного вида продукции</w:t>
            </w:r>
          </w:p>
        </w:tc>
        <w:tc>
          <w:tcPr>
            <w:tcW w:w="3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Прямые</w:t>
            </w:r>
          </w:p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Косвенные</w:t>
            </w:r>
          </w:p>
        </w:tc>
      </w:tr>
      <w:tr w:rsidR="00C31FD6" w:rsidTr="003A68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6329" w:type="dxa"/>
          </w:tcPr>
          <w:p w:rsidR="00C31FD6" w:rsidRPr="00976E20" w:rsidRDefault="00C31FD6" w:rsidP="003A6827">
            <w:pPr>
              <w:rPr>
                <w:color w:val="000000"/>
              </w:rPr>
            </w:pPr>
            <w:r w:rsidRPr="00976E20">
              <w:rPr>
                <w:color w:val="000000"/>
              </w:rPr>
              <w:t>По характеру зависимости от объема производства</w:t>
            </w:r>
          </w:p>
        </w:tc>
        <w:tc>
          <w:tcPr>
            <w:tcW w:w="3631" w:type="dxa"/>
            <w:gridSpan w:val="2"/>
          </w:tcPr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Постоянные</w:t>
            </w:r>
          </w:p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Переменные</w:t>
            </w:r>
          </w:p>
        </w:tc>
      </w:tr>
      <w:tr w:rsidR="00C31FD6" w:rsidTr="003A68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6329" w:type="dxa"/>
          </w:tcPr>
          <w:p w:rsidR="00C31FD6" w:rsidRPr="00976E20" w:rsidRDefault="00C31FD6" w:rsidP="003A6827">
            <w:pPr>
              <w:rPr>
                <w:color w:val="000000"/>
              </w:rPr>
            </w:pPr>
            <w:r w:rsidRPr="00976E20">
              <w:rPr>
                <w:color w:val="000000"/>
              </w:rPr>
              <w:t>По роли в производственном процессе</w:t>
            </w:r>
          </w:p>
        </w:tc>
        <w:tc>
          <w:tcPr>
            <w:tcW w:w="3631" w:type="dxa"/>
            <w:gridSpan w:val="2"/>
          </w:tcPr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Производственные</w:t>
            </w:r>
          </w:p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Внепроизводственные</w:t>
            </w:r>
          </w:p>
        </w:tc>
      </w:tr>
      <w:tr w:rsidR="00C31FD6" w:rsidTr="003A68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6329" w:type="dxa"/>
          </w:tcPr>
          <w:p w:rsidR="00C31FD6" w:rsidRPr="00976E20" w:rsidRDefault="00C31FD6" w:rsidP="003A6827">
            <w:pPr>
              <w:rPr>
                <w:color w:val="000000"/>
              </w:rPr>
            </w:pPr>
            <w:r w:rsidRPr="00976E20">
              <w:rPr>
                <w:color w:val="000000"/>
              </w:rPr>
              <w:t>По</w:t>
            </w:r>
            <w:r w:rsidRPr="00853BF0">
              <w:rPr>
                <w:color w:val="000000"/>
              </w:rPr>
              <w:t xml:space="preserve"> </w:t>
            </w:r>
            <w:r w:rsidRPr="00976E20">
              <w:rPr>
                <w:color w:val="000000"/>
              </w:rPr>
              <w:t>периодичности</w:t>
            </w:r>
            <w:r w:rsidRPr="00853BF0">
              <w:rPr>
                <w:color w:val="000000"/>
              </w:rPr>
              <w:t xml:space="preserve"> </w:t>
            </w:r>
            <w:r w:rsidRPr="00976E20">
              <w:rPr>
                <w:color w:val="000000"/>
              </w:rPr>
              <w:t>возникновения</w:t>
            </w:r>
          </w:p>
        </w:tc>
        <w:tc>
          <w:tcPr>
            <w:tcW w:w="3631" w:type="dxa"/>
            <w:gridSpan w:val="2"/>
          </w:tcPr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Текущие</w:t>
            </w:r>
          </w:p>
          <w:p w:rsidR="00C31FD6" w:rsidRPr="00976E20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6E20">
              <w:rPr>
                <w:color w:val="000000"/>
              </w:rPr>
              <w:t>Единовременные</w:t>
            </w:r>
          </w:p>
        </w:tc>
      </w:tr>
      <w:tr w:rsidR="00C31FD6" w:rsidTr="003A68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6329" w:type="dxa"/>
          </w:tcPr>
          <w:p w:rsidR="00C31FD6" w:rsidRPr="00976E20" w:rsidRDefault="00C31FD6" w:rsidP="003A6827">
            <w:pPr>
              <w:rPr>
                <w:color w:val="000000"/>
              </w:rPr>
            </w:pPr>
            <w:r>
              <w:rPr>
                <w:color w:val="000000"/>
              </w:rPr>
              <w:t>В зависимости от роли и целевого назначения</w:t>
            </w:r>
          </w:p>
        </w:tc>
        <w:tc>
          <w:tcPr>
            <w:tcW w:w="3631" w:type="dxa"/>
            <w:gridSpan w:val="2"/>
          </w:tcPr>
          <w:p w:rsidR="00C31FD6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Основные</w:t>
            </w:r>
          </w:p>
          <w:p w:rsidR="00C31FD6" w:rsidRPr="00EB3CD7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Накладные</w:t>
            </w:r>
          </w:p>
        </w:tc>
      </w:tr>
      <w:tr w:rsidR="00C31FD6" w:rsidTr="003A68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6329" w:type="dxa"/>
          </w:tcPr>
          <w:p w:rsidR="00C31FD6" w:rsidRDefault="00C31FD6" w:rsidP="003A6827">
            <w:pPr>
              <w:rPr>
                <w:color w:val="000000"/>
              </w:rPr>
            </w:pPr>
            <w:r>
              <w:rPr>
                <w:color w:val="000000"/>
              </w:rPr>
              <w:t>По составу включаемых затрат</w:t>
            </w:r>
          </w:p>
        </w:tc>
        <w:tc>
          <w:tcPr>
            <w:tcW w:w="3631" w:type="dxa"/>
            <w:gridSpan w:val="2"/>
          </w:tcPr>
          <w:p w:rsidR="00C31FD6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Простые</w:t>
            </w:r>
          </w:p>
          <w:p w:rsidR="00C31FD6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Комплексные</w:t>
            </w:r>
          </w:p>
        </w:tc>
      </w:tr>
      <w:tr w:rsidR="00C31FD6" w:rsidTr="003A68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6329" w:type="dxa"/>
          </w:tcPr>
          <w:p w:rsidR="00C31FD6" w:rsidRDefault="00C31FD6" w:rsidP="003A6827">
            <w:pPr>
              <w:rPr>
                <w:color w:val="000000"/>
              </w:rPr>
            </w:pPr>
            <w:r>
              <w:rPr>
                <w:color w:val="000000"/>
              </w:rPr>
              <w:t>В зависимости от возможности контроля</w:t>
            </w:r>
          </w:p>
        </w:tc>
        <w:tc>
          <w:tcPr>
            <w:tcW w:w="3631" w:type="dxa"/>
            <w:gridSpan w:val="2"/>
          </w:tcPr>
          <w:p w:rsidR="00C31FD6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Контролируемые</w:t>
            </w:r>
          </w:p>
          <w:p w:rsidR="00C31FD6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Неконтролируемые</w:t>
            </w:r>
          </w:p>
        </w:tc>
      </w:tr>
      <w:tr w:rsidR="00C31FD6" w:rsidTr="003A68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6329" w:type="dxa"/>
          </w:tcPr>
          <w:p w:rsidR="00C31FD6" w:rsidRDefault="00C31FD6" w:rsidP="003A6827">
            <w:pPr>
              <w:rPr>
                <w:color w:val="000000"/>
              </w:rPr>
            </w:pPr>
            <w:r>
              <w:rPr>
                <w:color w:val="000000"/>
              </w:rPr>
              <w:t>В зависимости от характера возможного управленческого решения</w:t>
            </w:r>
          </w:p>
        </w:tc>
        <w:tc>
          <w:tcPr>
            <w:tcW w:w="3631" w:type="dxa"/>
            <w:gridSpan w:val="2"/>
          </w:tcPr>
          <w:p w:rsidR="00C31FD6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Явные</w:t>
            </w:r>
          </w:p>
          <w:p w:rsidR="00C31FD6" w:rsidRDefault="00C31FD6" w:rsidP="00C31FD6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Неявные</w:t>
            </w:r>
          </w:p>
        </w:tc>
      </w:tr>
    </w:tbl>
    <w:p w:rsidR="00C31FD6" w:rsidRDefault="00C31FD6" w:rsidP="00C31FD6">
      <w:pPr>
        <w:spacing w:before="240" w:after="100" w:afterAutospacing="1" w:line="360" w:lineRule="auto"/>
        <w:contextualSpacing/>
        <w:jc w:val="both"/>
        <w:rPr>
          <w:color w:val="000000"/>
        </w:rPr>
      </w:pPr>
      <w:r w:rsidRPr="00853BF0">
        <w:rPr>
          <w:color w:val="000000"/>
        </w:rPr>
        <w:tab/>
      </w:r>
    </w:p>
    <w:p w:rsidR="00C31FD6" w:rsidRDefault="00C31FD6" w:rsidP="00C31FD6">
      <w:pPr>
        <w:spacing w:before="240" w:after="100" w:afterAutospacing="1" w:line="360" w:lineRule="auto"/>
        <w:contextualSpacing/>
        <w:jc w:val="both"/>
        <w:rPr>
          <w:color w:val="000000"/>
        </w:rPr>
      </w:pPr>
      <w:r>
        <w:rPr>
          <w:color w:val="000000"/>
        </w:rPr>
        <w:tab/>
      </w:r>
      <w:r w:rsidRPr="00C76508">
        <w:rPr>
          <w:color w:val="000000"/>
        </w:rPr>
        <w:t>По времени возникн</w:t>
      </w:r>
      <w:r>
        <w:rPr>
          <w:color w:val="000000"/>
        </w:rPr>
        <w:t>овения и отнесения на себестои</w:t>
      </w:r>
      <w:r w:rsidRPr="00C76508">
        <w:rPr>
          <w:color w:val="000000"/>
        </w:rPr>
        <w:t>мость продукции разли</w:t>
      </w:r>
      <w:r>
        <w:rPr>
          <w:color w:val="000000"/>
        </w:rPr>
        <w:t xml:space="preserve">чают затраты истекшего периода, </w:t>
      </w:r>
      <w:r w:rsidRPr="00C76508">
        <w:rPr>
          <w:color w:val="000000"/>
        </w:rPr>
        <w:t>текущие, будущего отчетно</w:t>
      </w:r>
      <w:r>
        <w:rPr>
          <w:color w:val="000000"/>
        </w:rPr>
        <w:t xml:space="preserve">го периода и предстоящие. К </w:t>
      </w:r>
      <w:proofErr w:type="gramStart"/>
      <w:r>
        <w:rPr>
          <w:color w:val="000000"/>
        </w:rPr>
        <w:t>те</w:t>
      </w:r>
      <w:r w:rsidRPr="00C76508">
        <w:rPr>
          <w:color w:val="000000"/>
        </w:rPr>
        <w:t>кущим</w:t>
      </w:r>
      <w:proofErr w:type="gramEnd"/>
      <w:r w:rsidRPr="00C76508">
        <w:rPr>
          <w:color w:val="000000"/>
        </w:rPr>
        <w:t xml:space="preserve"> относятся расхо</w:t>
      </w:r>
      <w:r>
        <w:rPr>
          <w:color w:val="000000"/>
        </w:rPr>
        <w:t xml:space="preserve">ды по производству и реализации </w:t>
      </w:r>
      <w:r w:rsidRPr="00C76508">
        <w:rPr>
          <w:color w:val="000000"/>
        </w:rPr>
        <w:t>продукции данного периода, ко</w:t>
      </w:r>
      <w:r>
        <w:rPr>
          <w:color w:val="000000"/>
        </w:rPr>
        <w:t>торые принесли доход в насто</w:t>
      </w:r>
      <w:r w:rsidRPr="00C76508">
        <w:rPr>
          <w:color w:val="000000"/>
        </w:rPr>
        <w:t>ящем и потеряли способность приносить доход в будущем.</w:t>
      </w:r>
      <w:r>
        <w:rPr>
          <w:color w:val="000000"/>
        </w:rPr>
        <w:t xml:space="preserve"> </w:t>
      </w:r>
      <w:r w:rsidRPr="00C76508">
        <w:rPr>
          <w:color w:val="000000"/>
        </w:rPr>
        <w:t>Расходы будущего периода — это затраты, произведенные</w:t>
      </w:r>
      <w:r>
        <w:rPr>
          <w:color w:val="000000"/>
        </w:rPr>
        <w:t xml:space="preserve"> </w:t>
      </w:r>
      <w:r w:rsidRPr="00C76508">
        <w:rPr>
          <w:color w:val="000000"/>
        </w:rPr>
        <w:t>в текущем отчетном п</w:t>
      </w:r>
      <w:r>
        <w:rPr>
          <w:color w:val="000000"/>
        </w:rPr>
        <w:t>ериоде, но подлежащие включению в себестоимость продук</w:t>
      </w:r>
      <w:r w:rsidRPr="00C76508">
        <w:rPr>
          <w:color w:val="000000"/>
        </w:rPr>
        <w:t>ции, к</w:t>
      </w:r>
      <w:r>
        <w:rPr>
          <w:color w:val="000000"/>
        </w:rPr>
        <w:t xml:space="preserve">оторая будет выпускаться </w:t>
      </w:r>
      <w:r w:rsidRPr="00C76508">
        <w:rPr>
          <w:color w:val="000000"/>
        </w:rPr>
        <w:t>в последующие отчетны</w:t>
      </w:r>
      <w:r>
        <w:rPr>
          <w:color w:val="000000"/>
        </w:rPr>
        <w:t xml:space="preserve">е периоды (например, расходы на </w:t>
      </w:r>
      <w:r w:rsidRPr="00C76508">
        <w:rPr>
          <w:color w:val="000000"/>
        </w:rPr>
        <w:t>освоение вводимых в э</w:t>
      </w:r>
      <w:r>
        <w:rPr>
          <w:color w:val="000000"/>
        </w:rPr>
        <w:t xml:space="preserve">ксплуатацию цехов, производств, </w:t>
      </w:r>
      <w:r w:rsidRPr="00C76508">
        <w:rPr>
          <w:color w:val="000000"/>
        </w:rPr>
        <w:t>на подготовку и освоение но</w:t>
      </w:r>
      <w:r>
        <w:rPr>
          <w:color w:val="000000"/>
        </w:rPr>
        <w:t>вых видов продукции на дейст</w:t>
      </w:r>
      <w:r w:rsidRPr="00C76508">
        <w:rPr>
          <w:color w:val="000000"/>
        </w:rPr>
        <w:t>вующих предприятиях). Та</w:t>
      </w:r>
      <w:r>
        <w:rPr>
          <w:color w:val="000000"/>
        </w:rPr>
        <w:t xml:space="preserve">кие затраты должны принести </w:t>
      </w:r>
      <w:r w:rsidRPr="00C76508">
        <w:rPr>
          <w:color w:val="000000"/>
        </w:rPr>
        <w:t xml:space="preserve">доход в будущем. К </w:t>
      </w:r>
      <w:proofErr w:type="gramStart"/>
      <w:r w:rsidRPr="00C76508">
        <w:rPr>
          <w:color w:val="000000"/>
        </w:rPr>
        <w:t>предс</w:t>
      </w:r>
      <w:r>
        <w:rPr>
          <w:color w:val="000000"/>
        </w:rPr>
        <w:t>тоящим</w:t>
      </w:r>
      <w:proofErr w:type="gramEnd"/>
      <w:r>
        <w:rPr>
          <w:color w:val="000000"/>
        </w:rPr>
        <w:t xml:space="preserve"> относят затраты, которые </w:t>
      </w:r>
      <w:r w:rsidRPr="00C76508">
        <w:rPr>
          <w:color w:val="000000"/>
        </w:rPr>
        <w:t xml:space="preserve">в данном отчетном периоде </w:t>
      </w:r>
      <w:r>
        <w:rPr>
          <w:color w:val="000000"/>
        </w:rPr>
        <w:t xml:space="preserve">еще не </w:t>
      </w:r>
      <w:r>
        <w:rPr>
          <w:color w:val="000000"/>
        </w:rPr>
        <w:lastRenderedPageBreak/>
        <w:t>произведены, но для пра</w:t>
      </w:r>
      <w:r w:rsidRPr="00C76508">
        <w:rPr>
          <w:color w:val="000000"/>
        </w:rPr>
        <w:t>вильного отражения фак</w:t>
      </w:r>
      <w:r>
        <w:rPr>
          <w:color w:val="000000"/>
        </w:rPr>
        <w:t xml:space="preserve">тической себестоимости подлежат </w:t>
      </w:r>
      <w:r w:rsidRPr="00C76508">
        <w:rPr>
          <w:color w:val="000000"/>
        </w:rPr>
        <w:t>включению в затраты прои</w:t>
      </w:r>
      <w:r>
        <w:rPr>
          <w:color w:val="000000"/>
        </w:rPr>
        <w:t>зводства за данный отчетный пе</w:t>
      </w:r>
      <w:r w:rsidRPr="00C76508">
        <w:rPr>
          <w:color w:val="000000"/>
        </w:rPr>
        <w:t>риод в плановом размере (р</w:t>
      </w:r>
      <w:r>
        <w:rPr>
          <w:color w:val="000000"/>
        </w:rPr>
        <w:t>асходы на оплату отпусков рабо</w:t>
      </w:r>
      <w:r w:rsidRPr="00C76508">
        <w:rPr>
          <w:color w:val="000000"/>
        </w:rPr>
        <w:t>чих, выплату единовреме</w:t>
      </w:r>
      <w:r>
        <w:rPr>
          <w:color w:val="000000"/>
        </w:rPr>
        <w:t xml:space="preserve">нного вознаграждения за выслугу </w:t>
      </w:r>
      <w:r w:rsidRPr="00C76508">
        <w:rPr>
          <w:color w:val="000000"/>
        </w:rPr>
        <w:t>лет и другие затраты, и</w:t>
      </w:r>
      <w:r>
        <w:rPr>
          <w:color w:val="000000"/>
        </w:rPr>
        <w:t xml:space="preserve">меющие периодический характер). </w:t>
      </w:r>
      <w:r w:rsidRPr="00C76508">
        <w:rPr>
          <w:color w:val="000000"/>
        </w:rPr>
        <w:t>В будущих и предстоящ</w:t>
      </w:r>
      <w:r>
        <w:rPr>
          <w:color w:val="000000"/>
        </w:rPr>
        <w:t xml:space="preserve">их расходах выделяются затраты, </w:t>
      </w:r>
      <w:r w:rsidRPr="00C76508">
        <w:rPr>
          <w:color w:val="000000"/>
        </w:rPr>
        <w:t>принимаемые и не принимаемые в расчет</w:t>
      </w:r>
      <w:r>
        <w:rPr>
          <w:color w:val="000000"/>
        </w:rPr>
        <w:t xml:space="preserve"> — это те будущие </w:t>
      </w:r>
      <w:r w:rsidRPr="00C76508">
        <w:rPr>
          <w:color w:val="000000"/>
        </w:rPr>
        <w:t xml:space="preserve">затраты, которые подвержены </w:t>
      </w:r>
      <w:r>
        <w:rPr>
          <w:color w:val="000000"/>
        </w:rPr>
        <w:t xml:space="preserve">влиянию принятого решения. </w:t>
      </w:r>
      <w:r w:rsidRPr="00C76508">
        <w:rPr>
          <w:color w:val="000000"/>
        </w:rPr>
        <w:t>При выборе определенного реш</w:t>
      </w:r>
      <w:r>
        <w:rPr>
          <w:color w:val="000000"/>
        </w:rPr>
        <w:t>ения необходимо выяснить, какие затраты имеют от</w:t>
      </w:r>
      <w:r w:rsidRPr="00C76508">
        <w:rPr>
          <w:color w:val="000000"/>
        </w:rPr>
        <w:t>ноше</w:t>
      </w:r>
      <w:r>
        <w:rPr>
          <w:color w:val="000000"/>
        </w:rPr>
        <w:t xml:space="preserve">ние к данной проблеме, а какие </w:t>
      </w:r>
      <w:r w:rsidRPr="00C76508">
        <w:rPr>
          <w:color w:val="000000"/>
        </w:rPr>
        <w:t>нет. К не принимаемым в расчет затратам и доходам от</w:t>
      </w:r>
      <w:r>
        <w:rPr>
          <w:color w:val="000000"/>
        </w:rPr>
        <w:t>но</w:t>
      </w:r>
      <w:r w:rsidRPr="00C76508">
        <w:rPr>
          <w:color w:val="000000"/>
        </w:rPr>
        <w:t>сятся те, которые не зависят от принятого решения.</w:t>
      </w:r>
    </w:p>
    <w:p w:rsidR="00C31FD6" w:rsidRDefault="00C31FD6" w:rsidP="00C31FD6">
      <w:pPr>
        <w:spacing w:before="240" w:after="100" w:afterAutospacing="1" w:line="360" w:lineRule="auto"/>
        <w:contextualSpacing/>
        <w:jc w:val="both"/>
        <w:rPr>
          <w:color w:val="000000"/>
        </w:rPr>
      </w:pPr>
      <w:r>
        <w:rPr>
          <w:color w:val="000000"/>
        </w:rPr>
        <w:tab/>
      </w:r>
      <w:r w:rsidRPr="00C76508">
        <w:rPr>
          <w:color w:val="000000"/>
        </w:rPr>
        <w:t>В зависимости о</w:t>
      </w:r>
      <w:r>
        <w:rPr>
          <w:color w:val="000000"/>
        </w:rPr>
        <w:t xml:space="preserve">т специфики принимаемых решений </w:t>
      </w:r>
      <w:r w:rsidRPr="00C76508">
        <w:rPr>
          <w:color w:val="000000"/>
        </w:rPr>
        <w:t xml:space="preserve">затраты подразделяют </w:t>
      </w:r>
      <w:proofErr w:type="gramStart"/>
      <w:r w:rsidRPr="00C76508">
        <w:rPr>
          <w:color w:val="000000"/>
        </w:rPr>
        <w:t>на</w:t>
      </w:r>
      <w:proofErr w:type="gramEnd"/>
      <w:r w:rsidRPr="00C76508">
        <w:rPr>
          <w:color w:val="000000"/>
        </w:rPr>
        <w:t xml:space="preserve"> релеван</w:t>
      </w:r>
      <w:r>
        <w:rPr>
          <w:color w:val="000000"/>
        </w:rPr>
        <w:t>тные и нерелевантные. Ре</w:t>
      </w:r>
      <w:r w:rsidRPr="00C76508">
        <w:rPr>
          <w:color w:val="000000"/>
        </w:rPr>
        <w:t>левантными (т.е. существ</w:t>
      </w:r>
      <w:r>
        <w:rPr>
          <w:color w:val="000000"/>
        </w:rPr>
        <w:t>енными, значительными) затрата</w:t>
      </w:r>
      <w:r w:rsidRPr="00C76508">
        <w:rPr>
          <w:color w:val="000000"/>
        </w:rPr>
        <w:t>ми можно считать только</w:t>
      </w:r>
      <w:r>
        <w:rPr>
          <w:color w:val="000000"/>
        </w:rPr>
        <w:t xml:space="preserve"> те затраты, которые зависят от </w:t>
      </w:r>
      <w:r w:rsidRPr="00C76508">
        <w:rPr>
          <w:color w:val="000000"/>
        </w:rPr>
        <w:t>рассматриваемого управ</w:t>
      </w:r>
      <w:r>
        <w:rPr>
          <w:color w:val="000000"/>
        </w:rPr>
        <w:t>ленческого решения. Нерелевант</w:t>
      </w:r>
      <w:r w:rsidRPr="00C76508">
        <w:rPr>
          <w:color w:val="000000"/>
        </w:rPr>
        <w:t>ные, или безвозвратные, за</w:t>
      </w:r>
      <w:r>
        <w:rPr>
          <w:color w:val="000000"/>
        </w:rPr>
        <w:t xml:space="preserve">траты — это затраты, которые не </w:t>
      </w:r>
      <w:r w:rsidRPr="00C76508">
        <w:rPr>
          <w:color w:val="000000"/>
        </w:rPr>
        <w:t>могут быть изменены никаким будущим решением.</w:t>
      </w:r>
    </w:p>
    <w:p w:rsidR="00C31FD6" w:rsidRPr="00C435A9" w:rsidRDefault="00C31FD6" w:rsidP="00C31FD6">
      <w:pPr>
        <w:spacing w:before="240" w:after="100" w:afterAutospacing="1" w:line="360" w:lineRule="auto"/>
        <w:contextualSpacing/>
        <w:jc w:val="both"/>
        <w:rPr>
          <w:color w:val="000000"/>
        </w:rPr>
      </w:pPr>
      <w:r>
        <w:rPr>
          <w:color w:val="000000"/>
        </w:rPr>
        <w:tab/>
      </w:r>
      <w:r w:rsidRPr="00C435A9">
        <w:rPr>
          <w:color w:val="000000"/>
        </w:rPr>
        <w:t xml:space="preserve">Деление издержек по объекту отнесения связано с целями экономического анализа. </w:t>
      </w:r>
      <w:proofErr w:type="gramStart"/>
      <w:r w:rsidRPr="00C435A9">
        <w:rPr>
          <w:color w:val="000000"/>
        </w:rPr>
        <w:t>В их качестве могут выступать: структурный анализ затрат по различным стадиям производственного процесса (например, заготовительной, обрабатывающей или сборочной); анализ затрат, связанных с деятельностью структурного подразделения организации (предприятия) (например, анализ затрат службы маркетинга предприятия), анализ затрат, связанных с видом деятельности (бизнесом), регионом сбыта и т. п. Объектом отнесения в этих случаях выступают процесс либо структурное подразделение.</w:t>
      </w:r>
      <w:proofErr w:type="gramEnd"/>
      <w:r w:rsidRPr="00C435A9">
        <w:rPr>
          <w:color w:val="000000"/>
        </w:rPr>
        <w:t xml:space="preserve"> Если анализируются затраты на производство и реализацию того или иного вида продукции, объектом отнесения издержек выступает конкретное изделие (или группа однородных изделий).</w:t>
      </w:r>
    </w:p>
    <w:p w:rsidR="00C31FD6" w:rsidRPr="00C435A9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 w:rsidRPr="00853BF0">
        <w:rPr>
          <w:color w:val="000000"/>
        </w:rPr>
        <w:tab/>
      </w:r>
      <w:r w:rsidRPr="00C435A9">
        <w:rPr>
          <w:color w:val="000000"/>
        </w:rPr>
        <w:t xml:space="preserve">В зависимости от избранного объекта отнесения все издержки могут быть разделены </w:t>
      </w:r>
      <w:proofErr w:type="gramStart"/>
      <w:r w:rsidRPr="00C435A9">
        <w:rPr>
          <w:color w:val="000000"/>
        </w:rPr>
        <w:t>на</w:t>
      </w:r>
      <w:proofErr w:type="gramEnd"/>
      <w:r w:rsidRPr="00C435A9">
        <w:rPr>
          <w:color w:val="000000"/>
        </w:rPr>
        <w:t xml:space="preserve"> прямые и косвенные. </w:t>
      </w:r>
      <w:proofErr w:type="gramStart"/>
      <w:r w:rsidRPr="00C435A9">
        <w:rPr>
          <w:color w:val="000000"/>
        </w:rPr>
        <w:t>К</w:t>
      </w:r>
      <w:proofErr w:type="gramEnd"/>
      <w:r w:rsidRPr="00C435A9">
        <w:rPr>
          <w:color w:val="000000"/>
        </w:rPr>
        <w:t xml:space="preserve"> прямым относятся затраты, величина которых может быть непосредственно рассчитана на объект отнесения на основе первичных документов (конструкторской и технологической документаций, накладных, счетов-фактур и т. п.), в которых делается ссылка на объект. Например, если объектом отнесения является изделие, то к прямым издержкам относятся: стоимость сырья, материалов и покупных комплектующих изделий и полуфабрикатов, входящих в состав продукции; заработная плата производственных рабочих, непосредственно занятых изготовлением продукции; дополнительная заработная плата производственных рабочих; отчисления на социальные нужды производственных рабочих; расходы на содержание и эксплуатацию </w:t>
      </w:r>
      <w:r w:rsidRPr="00C435A9">
        <w:rPr>
          <w:color w:val="000000"/>
        </w:rPr>
        <w:lastRenderedPageBreak/>
        <w:t>оборудования. Косвенные издержки не могут быть прямо отнесены на объект в момент их возникновения в силу тех или иных причин. В качестве таких причин могут выступать:</w:t>
      </w:r>
    </w:p>
    <w:p w:rsidR="00C31FD6" w:rsidRPr="00C435A9" w:rsidRDefault="00C31FD6" w:rsidP="00C31FD6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 w:rsidRPr="00C435A9">
        <w:rPr>
          <w:color w:val="000000"/>
        </w:rPr>
        <w:t>невозможность прямого отнесения, определяемая природой затрат. Например, затраты по содержанию административных помещений не могут быть непосредственно отнесены на определенную продукцию (работы, услуги);</w:t>
      </w:r>
    </w:p>
    <w:p w:rsidR="00C31FD6" w:rsidRPr="00C435A9" w:rsidRDefault="00C31FD6" w:rsidP="00C31FD6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 w:rsidRPr="00C435A9">
        <w:rPr>
          <w:color w:val="000000"/>
        </w:rPr>
        <w:t>сложность организации или экономическая нецелесообразность дифференцированного учета затрат;</w:t>
      </w:r>
    </w:p>
    <w:p w:rsidR="00C31FD6" w:rsidRPr="00C435A9" w:rsidRDefault="00C31FD6" w:rsidP="00C31FD6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 w:rsidRPr="00C435A9">
        <w:rPr>
          <w:color w:val="000000"/>
        </w:rPr>
        <w:t>принятая учетная политика предприятия, которой предусматривается учет определенных видов издержек как общих (управленческие, общепроизводственные и общехозяйственные расходы).</w:t>
      </w:r>
    </w:p>
    <w:p w:rsidR="00C31FD6" w:rsidRPr="00C435A9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 w:rsidRPr="00853BF0">
        <w:rPr>
          <w:color w:val="000000"/>
        </w:rPr>
        <w:tab/>
      </w:r>
      <w:r w:rsidRPr="00C435A9">
        <w:rPr>
          <w:color w:val="000000"/>
        </w:rPr>
        <w:t xml:space="preserve">К косвенным издержкам относятся: общепроизводственные, общехозяйственные и коммерческие расходы. При рассмотрении детального состава этих расходов, которые принято относить к </w:t>
      </w:r>
      <w:proofErr w:type="gramStart"/>
      <w:r w:rsidRPr="00C435A9">
        <w:rPr>
          <w:color w:val="000000"/>
        </w:rPr>
        <w:t>косвенным</w:t>
      </w:r>
      <w:proofErr w:type="gramEnd"/>
      <w:r w:rsidRPr="00C435A9">
        <w:rPr>
          <w:color w:val="000000"/>
        </w:rPr>
        <w:t xml:space="preserve">, в ряде случаев могут встретиться прямые расходы. Например, в составе коммерческих расходов учитываются расходы на тару и упаковку, которые явно являются прямыми. Однако практика показывает, что не всегда рационально слишком точное деление расходов на прямые и косвенные с целью повышения точности расчетов. Указанные ранее расходы на тару и упаковку относятся к </w:t>
      </w:r>
      <w:proofErr w:type="gramStart"/>
      <w:r w:rsidRPr="00C435A9">
        <w:rPr>
          <w:color w:val="000000"/>
        </w:rPr>
        <w:t>коммерческим</w:t>
      </w:r>
      <w:proofErr w:type="gramEnd"/>
      <w:r w:rsidRPr="00C435A9">
        <w:rPr>
          <w:color w:val="000000"/>
        </w:rPr>
        <w:t>, так как обеспечивают реализацию продукции, и выделять их из соответствующей статьи калькуляции нецелесообразно.</w:t>
      </w:r>
    </w:p>
    <w:p w:rsidR="00C31FD6" w:rsidRPr="00C435A9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 w:rsidRPr="00853BF0">
        <w:rPr>
          <w:color w:val="000000"/>
        </w:rPr>
        <w:tab/>
      </w:r>
      <w:r w:rsidRPr="00C435A9">
        <w:rPr>
          <w:color w:val="000000"/>
        </w:rPr>
        <w:t xml:space="preserve">С учетом характера влияния объема производства (сбыта) продукции на величину затрат они делятся на постоянные и переменные. </w:t>
      </w:r>
      <w:proofErr w:type="gramStart"/>
      <w:r w:rsidRPr="00C435A9">
        <w:rPr>
          <w:color w:val="000000"/>
        </w:rPr>
        <w:t>К</w:t>
      </w:r>
      <w:proofErr w:type="gramEnd"/>
      <w:r w:rsidRPr="00C435A9">
        <w:rPr>
          <w:color w:val="000000"/>
        </w:rPr>
        <w:t xml:space="preserve"> постоянным относят издержки, которые остаются практически неизменными в целом по организации. В расчете же на единицу продукции их величина обратно пропорциональна объему выпуска (объему продаж) продукции организации (например, заработная плата администрации организации, арендная плата за производственные или офисные помещения, коммунальные услуги и т. д.).</w:t>
      </w:r>
    </w:p>
    <w:p w:rsidR="00C31FD6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 w:rsidRPr="00853BF0">
        <w:rPr>
          <w:color w:val="000000"/>
        </w:rPr>
        <w:tab/>
      </w:r>
      <w:r w:rsidRPr="00C435A9">
        <w:rPr>
          <w:color w:val="000000"/>
        </w:rPr>
        <w:t>К переменным относят издержки, величина которых в расчете на единицу продукции практически не зависит от объема выпуска (объема продаж). В расчете же на годовой объем выпуска эти издержки меняются почти прямо пропорционально этому объему.</w:t>
      </w:r>
    </w:p>
    <w:p w:rsidR="00C31FD6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>
        <w:rPr>
          <w:color w:val="000000"/>
        </w:rPr>
        <w:tab/>
        <w:t>Условно-переменные затраты могут переходить из одной категории в другую в определенных ситуациях</w:t>
      </w:r>
    </w:p>
    <w:p w:rsidR="00C31FD6" w:rsidRPr="00C435A9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 w:rsidRPr="00853BF0">
        <w:rPr>
          <w:color w:val="000000"/>
        </w:rPr>
        <w:tab/>
      </w:r>
      <w:r w:rsidRPr="00C435A9">
        <w:rPr>
          <w:color w:val="000000"/>
        </w:rPr>
        <w:t>Деление издержек на постоянные</w:t>
      </w:r>
      <w:r>
        <w:rPr>
          <w:color w:val="000000"/>
        </w:rPr>
        <w:t>, условно-переменные</w:t>
      </w:r>
      <w:r w:rsidRPr="00C435A9">
        <w:rPr>
          <w:color w:val="000000"/>
        </w:rPr>
        <w:t xml:space="preserve"> и переменные является условным, поскольку подобная классификация распространяется лишь на краткосрочный период. Например, изменение условий аренды может привести к изменению постоянных </w:t>
      </w:r>
      <w:r w:rsidRPr="00C435A9">
        <w:rPr>
          <w:color w:val="000000"/>
        </w:rPr>
        <w:lastRenderedPageBreak/>
        <w:t xml:space="preserve">издержек, или применение окладной формы оплаты труда при сохранении численности производственного персонала ведет к тому, что затраты на оплату труда рабочих сохраняются </w:t>
      </w:r>
      <w:proofErr w:type="gramStart"/>
      <w:r w:rsidRPr="00C435A9">
        <w:rPr>
          <w:color w:val="000000"/>
        </w:rPr>
        <w:t>постоянными</w:t>
      </w:r>
      <w:proofErr w:type="gramEnd"/>
      <w:r w:rsidRPr="00C435A9">
        <w:rPr>
          <w:color w:val="000000"/>
        </w:rPr>
        <w:t xml:space="preserve"> и не зависят от объемов произведенной продукции. С другой стороны, подобное деление издержек позволяет проанализировать характер их поведения при незначительных изменениях объемов производства и продаж.</w:t>
      </w:r>
    </w:p>
    <w:p w:rsidR="00C31FD6" w:rsidRPr="00C435A9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 w:rsidRPr="00853BF0">
        <w:rPr>
          <w:color w:val="000000"/>
        </w:rPr>
        <w:tab/>
      </w:r>
      <w:r w:rsidRPr="00C435A9">
        <w:rPr>
          <w:color w:val="000000"/>
        </w:rPr>
        <w:t xml:space="preserve">По отношению издержек к производственному процессу они делятся </w:t>
      </w:r>
      <w:proofErr w:type="gramStart"/>
      <w:r w:rsidRPr="00C435A9">
        <w:rPr>
          <w:color w:val="000000"/>
        </w:rPr>
        <w:t>на</w:t>
      </w:r>
      <w:proofErr w:type="gramEnd"/>
      <w:r w:rsidRPr="00C435A9">
        <w:rPr>
          <w:color w:val="000000"/>
        </w:rPr>
        <w:t xml:space="preserve"> производственные и непроизводственные. К </w:t>
      </w:r>
      <w:proofErr w:type="gramStart"/>
      <w:r w:rsidRPr="00C435A9">
        <w:rPr>
          <w:color w:val="000000"/>
        </w:rPr>
        <w:t>производственным</w:t>
      </w:r>
      <w:proofErr w:type="gramEnd"/>
      <w:r w:rsidRPr="00C435A9">
        <w:rPr>
          <w:color w:val="000000"/>
        </w:rPr>
        <w:t xml:space="preserve"> относят издержки, возникающие в процессе производства (на заготовительной, обрабатывающей или сборочной стадиях производства). </w:t>
      </w:r>
      <w:proofErr w:type="gramStart"/>
      <w:r w:rsidRPr="00C435A9">
        <w:rPr>
          <w:color w:val="000000"/>
        </w:rPr>
        <w:t>К непроизводственным относят издержки, непосредственно не связанные с производственным процессом (сбытовые затраты, административно-хозяйственные расходы организации (предприятия).</w:t>
      </w:r>
      <w:proofErr w:type="gramEnd"/>
    </w:p>
    <w:p w:rsidR="00C31FD6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 w:rsidRPr="00853BF0">
        <w:rPr>
          <w:color w:val="000000"/>
        </w:rPr>
        <w:tab/>
      </w:r>
      <w:r w:rsidRPr="00C435A9">
        <w:rPr>
          <w:color w:val="000000"/>
        </w:rPr>
        <w:t xml:space="preserve">По периодичности возникновения издержки организации (предприятия) принято делить </w:t>
      </w:r>
      <w:proofErr w:type="gramStart"/>
      <w:r w:rsidRPr="00C435A9">
        <w:rPr>
          <w:color w:val="000000"/>
        </w:rPr>
        <w:t>на</w:t>
      </w:r>
      <w:proofErr w:type="gramEnd"/>
      <w:r w:rsidRPr="00C435A9">
        <w:rPr>
          <w:color w:val="000000"/>
        </w:rPr>
        <w:t xml:space="preserve"> текущие и единовременные. </w:t>
      </w:r>
      <w:proofErr w:type="gramStart"/>
      <w:r w:rsidRPr="00C435A9">
        <w:rPr>
          <w:color w:val="000000"/>
        </w:rPr>
        <w:t>К</w:t>
      </w:r>
      <w:proofErr w:type="gramEnd"/>
      <w:r w:rsidRPr="00C435A9">
        <w:rPr>
          <w:color w:val="000000"/>
        </w:rPr>
        <w:t xml:space="preserve"> текущим относят издержки, совершаемые с регулярной периодичностью в краткосрочном периоде: материальные затраты, затраты на оплату труда и др. Единовременными являются издержки, совершаемые однократно в краткосрочном периоде или повторяющиеся в производственном процессе нерегулярно. Например, это затраты на приобретение технологического оборудования, затраты на капитальный ремонт, другие капитальные вложения.</w:t>
      </w:r>
    </w:p>
    <w:p w:rsidR="00C31FD6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>
        <w:rPr>
          <w:color w:val="000000"/>
        </w:rPr>
        <w:tab/>
      </w:r>
      <w:r w:rsidRPr="00EB3CD7">
        <w:rPr>
          <w:color w:val="000000"/>
        </w:rPr>
        <w:t xml:space="preserve">В зависимости от роли </w:t>
      </w:r>
      <w:r>
        <w:rPr>
          <w:color w:val="000000"/>
        </w:rPr>
        <w:t xml:space="preserve">и целевого назначения все статьи калькуляции могут быть подразделены на основные </w:t>
      </w:r>
      <w:r w:rsidRPr="00EB3CD7">
        <w:rPr>
          <w:color w:val="000000"/>
        </w:rPr>
        <w:t>и накладные. Основные включ</w:t>
      </w:r>
      <w:r>
        <w:rPr>
          <w:color w:val="000000"/>
        </w:rPr>
        <w:t>ают в себя затраты, непосредст</w:t>
      </w:r>
      <w:r w:rsidRPr="00EB3CD7">
        <w:rPr>
          <w:color w:val="000000"/>
        </w:rPr>
        <w:t>венно связанные с изгот</w:t>
      </w:r>
      <w:r>
        <w:rPr>
          <w:color w:val="000000"/>
        </w:rPr>
        <w:t xml:space="preserve">овлением продукции, накладные — </w:t>
      </w:r>
      <w:r w:rsidRPr="00EB3CD7">
        <w:rPr>
          <w:color w:val="000000"/>
        </w:rPr>
        <w:t xml:space="preserve">это затраты, связанные с </w:t>
      </w:r>
      <w:r>
        <w:rPr>
          <w:color w:val="000000"/>
        </w:rPr>
        <w:t>организацией, управлением, тех</w:t>
      </w:r>
      <w:r w:rsidRPr="00EB3CD7">
        <w:rPr>
          <w:color w:val="000000"/>
        </w:rPr>
        <w:t>нической подготовкой производства и т.п.</w:t>
      </w:r>
    </w:p>
    <w:p w:rsidR="00C31FD6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>
        <w:rPr>
          <w:rFonts w:ascii="PetersburgC-Bold" w:eastAsia="Calibri" w:hAnsi="PetersburgC-Bold" w:cs="PetersburgC-Bold"/>
          <w:b/>
          <w:bCs/>
          <w:sz w:val="21"/>
          <w:szCs w:val="21"/>
        </w:rPr>
        <w:tab/>
      </w:r>
      <w:proofErr w:type="gramStart"/>
      <w:r w:rsidRPr="00EB3CD7">
        <w:rPr>
          <w:color w:val="000000"/>
        </w:rPr>
        <w:t>По составу включаемых затрат статьи калькуляции подразделяются на простые (одноэлементные) — состоящие из одного экономического элемента (сырье, материалы, заработная плата), и комплексные, в которые входят несколько экономических элементов с одинаковым производственным назначением.</w:t>
      </w:r>
      <w:proofErr w:type="gramEnd"/>
    </w:p>
    <w:p w:rsidR="00C31FD6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>
        <w:rPr>
          <w:color w:val="000000"/>
        </w:rPr>
        <w:tab/>
      </w:r>
      <w:r w:rsidRPr="00C76508">
        <w:rPr>
          <w:color w:val="000000"/>
        </w:rPr>
        <w:t xml:space="preserve">В зависимости от возможности контроля затраты группируют </w:t>
      </w:r>
      <w:proofErr w:type="gramStart"/>
      <w:r w:rsidRPr="00C76508">
        <w:rPr>
          <w:color w:val="000000"/>
        </w:rPr>
        <w:t>на</w:t>
      </w:r>
      <w:proofErr w:type="gramEnd"/>
      <w:r w:rsidRPr="00C76508">
        <w:rPr>
          <w:color w:val="000000"/>
        </w:rPr>
        <w:t xml:space="preserve"> контролируемые и неконтролируемые. Контролируемые затраты поддаются контролю со стороны менеджмента, неконтролируемые же — не зависят от деятельности предприятия. Например, переоценка основных средств, повлекшая за собой увеличение сумм амортизационных отчислений, изменение цен на топливно-энергетические ресурсы и т.п.</w:t>
      </w:r>
    </w:p>
    <w:p w:rsidR="00C31FD6" w:rsidRPr="00C76508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>
        <w:rPr>
          <w:color w:val="000000"/>
        </w:rPr>
        <w:tab/>
      </w:r>
      <w:r w:rsidRPr="00C76508">
        <w:rPr>
          <w:color w:val="000000"/>
        </w:rPr>
        <w:t>В зависимости от х</w:t>
      </w:r>
      <w:r>
        <w:rPr>
          <w:color w:val="000000"/>
        </w:rPr>
        <w:t>арактера возможного управленчес</w:t>
      </w:r>
      <w:r w:rsidRPr="00C76508">
        <w:rPr>
          <w:color w:val="000000"/>
        </w:rPr>
        <w:t>кого решения затраты по</w:t>
      </w:r>
      <w:r>
        <w:rPr>
          <w:color w:val="000000"/>
        </w:rPr>
        <w:t xml:space="preserve">дразделяются </w:t>
      </w:r>
      <w:proofErr w:type="gramStart"/>
      <w:r>
        <w:rPr>
          <w:color w:val="000000"/>
        </w:rPr>
        <w:t>на</w:t>
      </w:r>
      <w:proofErr w:type="gramEnd"/>
      <w:r>
        <w:rPr>
          <w:color w:val="000000"/>
        </w:rPr>
        <w:t xml:space="preserve"> явные и неявные</w:t>
      </w:r>
      <w:r w:rsidRPr="00C76508">
        <w:rPr>
          <w:color w:val="000000"/>
        </w:rPr>
        <w:t xml:space="preserve"> (альтернативные, вменен</w:t>
      </w:r>
      <w:r>
        <w:rPr>
          <w:color w:val="000000"/>
        </w:rPr>
        <w:t xml:space="preserve">ные, воображаемые). Явные — это </w:t>
      </w:r>
      <w:r w:rsidRPr="00C76508">
        <w:rPr>
          <w:color w:val="000000"/>
        </w:rPr>
        <w:t>предполагаемые затраты,</w:t>
      </w:r>
      <w:r>
        <w:rPr>
          <w:color w:val="000000"/>
        </w:rPr>
        <w:t xml:space="preserve"> которые должно нести предприя</w:t>
      </w:r>
      <w:r w:rsidRPr="00C76508">
        <w:rPr>
          <w:color w:val="000000"/>
        </w:rPr>
        <w:t>тие при выполнении прои</w:t>
      </w:r>
      <w:r>
        <w:rPr>
          <w:color w:val="000000"/>
        </w:rPr>
        <w:t>зводственной и коммерческой де</w:t>
      </w:r>
      <w:r w:rsidRPr="00C76508">
        <w:rPr>
          <w:color w:val="000000"/>
        </w:rPr>
        <w:t xml:space="preserve">ятельности. Затраты же, </w:t>
      </w:r>
      <w:r>
        <w:rPr>
          <w:color w:val="000000"/>
        </w:rPr>
        <w:t xml:space="preserve">обусловленные отказом от </w:t>
      </w:r>
      <w:r>
        <w:rPr>
          <w:color w:val="000000"/>
        </w:rPr>
        <w:lastRenderedPageBreak/>
        <w:t xml:space="preserve">одного </w:t>
      </w:r>
      <w:r w:rsidRPr="00C76508">
        <w:rPr>
          <w:color w:val="000000"/>
        </w:rPr>
        <w:t>товара в пользу другого, н</w:t>
      </w:r>
      <w:r>
        <w:rPr>
          <w:color w:val="000000"/>
        </w:rPr>
        <w:t>азывают неявными затратами. Не</w:t>
      </w:r>
      <w:r w:rsidRPr="00C76508">
        <w:rPr>
          <w:color w:val="000000"/>
        </w:rPr>
        <w:t>явные затраты характери</w:t>
      </w:r>
      <w:r>
        <w:rPr>
          <w:color w:val="000000"/>
        </w:rPr>
        <w:t>зуют возможность, которая поте</w:t>
      </w:r>
      <w:r w:rsidRPr="00C76508">
        <w:rPr>
          <w:color w:val="000000"/>
        </w:rPr>
        <w:t>ряна или которой жертвуют, когда выбран альтернативный</w:t>
      </w:r>
      <w:r>
        <w:rPr>
          <w:color w:val="000000"/>
        </w:rPr>
        <w:t xml:space="preserve"> </w:t>
      </w:r>
      <w:r w:rsidRPr="00C76508">
        <w:rPr>
          <w:color w:val="000000"/>
        </w:rPr>
        <w:t>курс действий, т.е. означаю</w:t>
      </w:r>
      <w:r>
        <w:rPr>
          <w:color w:val="000000"/>
        </w:rPr>
        <w:t xml:space="preserve">т упущенную выгоду, когда выбор </w:t>
      </w:r>
      <w:r w:rsidRPr="00C76508">
        <w:rPr>
          <w:color w:val="000000"/>
        </w:rPr>
        <w:t>одного действия исключает появление другого действия.</w:t>
      </w:r>
    </w:p>
    <w:p w:rsidR="00C31FD6" w:rsidRPr="00C76508" w:rsidRDefault="00C31FD6" w:rsidP="00C31FD6">
      <w:pPr>
        <w:spacing w:before="100" w:beforeAutospacing="1" w:after="100" w:afterAutospacing="1" w:line="360" w:lineRule="auto"/>
        <w:contextualSpacing/>
        <w:jc w:val="both"/>
        <w:rPr>
          <w:color w:val="000000"/>
        </w:rPr>
      </w:pPr>
      <w:r>
        <w:rPr>
          <w:color w:val="000000"/>
        </w:rPr>
        <w:tab/>
      </w:r>
      <w:r w:rsidRPr="00C76508">
        <w:rPr>
          <w:color w:val="000000"/>
        </w:rPr>
        <w:t>А</w:t>
      </w:r>
      <w:r>
        <w:rPr>
          <w:color w:val="000000"/>
        </w:rPr>
        <w:t>льтернативные затраты воз</w:t>
      </w:r>
      <w:r w:rsidRPr="00C76508">
        <w:rPr>
          <w:color w:val="000000"/>
        </w:rPr>
        <w:t>ни</w:t>
      </w:r>
      <w:r>
        <w:rPr>
          <w:color w:val="000000"/>
        </w:rPr>
        <w:t>кают в случае ограничен</w:t>
      </w:r>
      <w:r w:rsidRPr="00C76508">
        <w:rPr>
          <w:color w:val="000000"/>
        </w:rPr>
        <w:t>ности ресурсов. Если р</w:t>
      </w:r>
      <w:r>
        <w:rPr>
          <w:color w:val="000000"/>
        </w:rPr>
        <w:t xml:space="preserve">есурсы не ограничены, вмененные </w:t>
      </w:r>
      <w:r w:rsidRPr="00C76508">
        <w:rPr>
          <w:color w:val="000000"/>
        </w:rPr>
        <w:t>издержки равны нулю. Ал</w:t>
      </w:r>
      <w:r>
        <w:rPr>
          <w:color w:val="000000"/>
        </w:rPr>
        <w:t>ьтернативные затраты иногда на</w:t>
      </w:r>
      <w:r w:rsidRPr="00C76508">
        <w:rPr>
          <w:color w:val="000000"/>
        </w:rPr>
        <w:t>зывают дополнительным</w:t>
      </w:r>
      <w:r>
        <w:rPr>
          <w:color w:val="000000"/>
        </w:rPr>
        <w:t>и. Для принятия решения необхо</w:t>
      </w:r>
      <w:r w:rsidRPr="00C76508">
        <w:rPr>
          <w:color w:val="000000"/>
        </w:rPr>
        <w:t>димо условно начислять (в</w:t>
      </w:r>
      <w:r>
        <w:rPr>
          <w:color w:val="000000"/>
        </w:rPr>
        <w:t>оображать) затраты, которые мо</w:t>
      </w:r>
      <w:r w:rsidRPr="00C76508">
        <w:rPr>
          <w:color w:val="000000"/>
        </w:rPr>
        <w:t>гут быть по альтернативному варианту.</w:t>
      </w:r>
    </w:p>
    <w:p w:rsidR="00E97ACC" w:rsidRDefault="00E97ACC">
      <w:bookmarkStart w:id="0" w:name="_GoBack"/>
      <w:bookmarkEnd w:id="0"/>
    </w:p>
    <w:sectPr w:rsidR="00E9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tersburgC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F3A18"/>
    <w:multiLevelType w:val="hybridMultilevel"/>
    <w:tmpl w:val="5ED6D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2D"/>
    <w:rsid w:val="006D572D"/>
    <w:rsid w:val="00AE2006"/>
    <w:rsid w:val="00B728E0"/>
    <w:rsid w:val="00C31FD6"/>
    <w:rsid w:val="00E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1811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2</cp:revision>
  <dcterms:created xsi:type="dcterms:W3CDTF">2018-02-19T09:02:00Z</dcterms:created>
  <dcterms:modified xsi:type="dcterms:W3CDTF">2018-02-19T09:02:00Z</dcterms:modified>
</cp:coreProperties>
</file>