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 w:line="264" w:lineRule="auto"/>
        <w:jc w:val="center"/>
      </w:pPr>
      <w:r>
        <w:rPr>
          <w:rFonts w:ascii="Calibri" w:hAnsi="Calibri" w:eastAsia="PingFang SC"/>
          <w:b/>
          <w:i w:val="0"/>
          <w:color w:val="2E74B5"/>
          <w:sz w:val="48"/>
        </w:rPr>
        <w:t>开发至部署上线全流程计划</w:t>
      </w:r>
    </w:p>
    <w:p>
      <w:pPr>
        <w:spacing w:before="0" w:after="360" w:line="288" w:lineRule="auto"/>
        <w:jc w:val="center"/>
      </w:pPr>
      <w:r>
        <w:rPr>
          <w:rFonts w:ascii="Calibri" w:hAnsi="Calibri" w:eastAsia="PingFang SC"/>
          <w:b w:val="0"/>
          <w:i w:val="0"/>
          <w:color w:val="5C6A7C"/>
          <w:sz w:val="24"/>
        </w:rPr>
        <w:t>宇智汇和 AI 助手项目 | 基于 3.3 代码开发与集成阶段清单扩展</w:t>
      </w:r>
    </w:p>
    <w:tbl>
      <w:tblPr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2000"/>
        <w:gridCol w:w="12160"/>
      </w:tblGrid>
      <w:tr>
        <w:trPr>
          <w:cantSplit/>
        </w:trPr>
        <w:tc>
          <w:tcPr>
            <w:tcW w:type="dxa" w:w="20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9"/>
              </w:rPr>
              <w:t>计划口径</w:t>
            </w:r>
          </w:p>
        </w:tc>
        <w:tc>
          <w:tcPr>
            <w:tcW w:type="dxa" w:w="1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9"/>
              </w:rPr>
              <w:t>以个人开发者独立完成为前提，覆盖本地桌面端功能、官网/下载站或更新服务、部署上线、备案、软著与上线后运维。</w:t>
            </w:r>
          </w:p>
        </w:tc>
      </w:tr>
      <w:tr>
        <w:trPr>
          <w:cantSplit/>
        </w:trPr>
        <w:tc>
          <w:tcPr>
            <w:tcW w:type="dxa" w:w="20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9"/>
              </w:rPr>
              <w:t>总周期建议</w:t>
            </w:r>
          </w:p>
        </w:tc>
        <w:tc>
          <w:tcPr>
            <w:tcW w:type="dxa" w:w="1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9"/>
              </w:rPr>
              <w:t>8 周 / 约 40 个工作日。第 1-3 周完成核心开发，第 2 周起同步启动服务器、域名、ICP备案与软著材料准备，第 7-8 周灰度与正式上线。</w:t>
            </w:r>
          </w:p>
        </w:tc>
      </w:tr>
      <w:tr>
        <w:trPr>
          <w:cantSplit/>
        </w:trPr>
        <w:tc>
          <w:tcPr>
            <w:tcW w:type="dxa" w:w="20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9"/>
              </w:rPr>
              <w:t>上线范围</w:t>
            </w:r>
          </w:p>
        </w:tc>
        <w:tc>
          <w:tcPr>
            <w:tcW w:type="dxa" w:w="1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9"/>
              </w:rPr>
              <w:t>默认包含桌面客户端发布、官网/下载入口、更新服务/说明页、基础日志与故障处理；如只做完全离线客户端，可删减服务器、域名和备案事项。</w:t>
            </w:r>
          </w:p>
        </w:tc>
      </w:tr>
      <w:tr>
        <w:trPr>
          <w:cantSplit/>
        </w:trPr>
        <w:tc>
          <w:tcPr>
            <w:tcW w:type="dxa" w:w="20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9"/>
              </w:rPr>
              <w:t>关键约束</w:t>
            </w:r>
          </w:p>
        </w:tc>
        <w:tc>
          <w:tcPr>
            <w:tcW w:type="dxa" w:w="1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9"/>
              </w:rPr>
              <w:t>ICP备案、公安联网备案、软著登记和应用签名证书均存在审核或办理等待期，应作为并行外部事项前置推进。</w:t>
            </w:r>
          </w:p>
        </w:tc>
      </w:tr>
    </w:tbl>
    <w:tbl>
      <w:tblPr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</w:tblPr>
      <w:tblGrid>
        <w:gridCol w:w="14160"/>
      </w:tblGrid>
      <w:tr>
        <w:trPr>
          <w:cantSplit/>
        </w:trPr>
        <w:tc>
          <w:tcPr>
            <w:tcW w:type="dxa" w:w="1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7A5A00"/>
                <w:sz w:val="20"/>
              </w:rPr>
              <w:t>重要说明：</w:t>
            </w:r>
            <w:r>
              <w:rPr>
                <w:rFonts w:ascii="Calibri" w:hAnsi="Calibri" w:eastAsia="PingFang SC"/>
                <w:color w:val="1C2B3B"/>
                <w:sz w:val="20"/>
              </w:rPr>
              <w:t>若官网、下载站、接口服务部署在中国大陆云服务器，通常需要先完成域名实名、服务器购买和ICP备案，再开通公网访问；网站开通后还应安排公安联网备案。具体材料和审核周期以接入商、所在地通信管理局、公安备案平台及中国版权保护中心要求为准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1. 总体阶段路线图</w:t>
      </w:r>
    </w:p>
    <w:tbl>
      <w:tblPr>
        <w:tblStyle w:val="TableGrid"/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200"/>
        <w:gridCol w:w="2100"/>
        <w:gridCol w:w="7700"/>
        <w:gridCol w:w="3160"/>
      </w:tblGrid>
      <w:tr>
        <w:trPr>
          <w:cantSplit/>
          <w:tblHeader w:val="true"/>
        </w:trP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时段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阶段</w:t>
            </w:r>
          </w:p>
        </w:tc>
        <w:tc>
          <w:tcPr>
            <w:tcW w:type="dxa" w:w="7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阶段需要完成的事情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阶段交付物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第 1 周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启动与基础架构</w:t>
            </w:r>
          </w:p>
        </w:tc>
        <w:tc>
          <w:tcPr>
            <w:tcW w:type="dxa" w:w="7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确认上线范围；搭建开发/测试/发布分支；确定功能清单；购买或选型云服务器、域名；准备备案主体材料；明确软著权属。</w:t>
            </w:r>
          </w:p>
        </w:tc>
        <w:tc>
          <w:tcPr>
            <w:tcW w:type="dxa" w:w="3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项目范围冻结；服务器/域名方案；备案材料清单；软著资料目录。</w:t>
            </w:r>
          </w:p>
        </w:tc>
      </w:tr>
      <w:tr>
        <w:trPr>
          <w:cantSplit/>
        </w:trPr>
        <w:tc>
          <w:tcPr>
            <w:tcW w:type="dxa" w:w="1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第 2 周</w:t>
            </w:r>
          </w:p>
        </w:tc>
        <w:tc>
          <w:tcPr>
            <w:tcW w:type="dxa" w:w="21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核心功能开发 + 备案启动</w:t>
            </w:r>
          </w:p>
        </w:tc>
        <w:tc>
          <w:tcPr>
            <w:tcW w:type="dxa" w:w="77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完成 UI 骨架、Cowork 会话、工作空间创建、基础数据结构；提交域名实名、ICP备案初审；准备隐私政策、用户协议草案。</w:t>
            </w:r>
          </w:p>
        </w:tc>
        <w:tc>
          <w:tcPr>
            <w:tcW w:type="dxa" w:w="31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核心页面可访问；会话可运行；ICP备案进入接入商初审；协议初稿。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第 3 周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资料与 Agent 能力</w:t>
            </w:r>
          </w:p>
        </w:tc>
        <w:tc>
          <w:tcPr>
            <w:tcW w:type="dxa" w:w="7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完成资料导入抽取、工作空间 Agent 团队、知识检索基础能力；继续跟进备案补正；开始软著源代码与说明文档整理。</w:t>
            </w:r>
          </w:p>
        </w:tc>
        <w:tc>
          <w:tcPr>
            <w:tcW w:type="dxa" w:w="3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工作空间主流程可跑通；备案材料无明显缺项；软著材料初版。</w:t>
            </w:r>
          </w:p>
        </w:tc>
      </w:tr>
      <w:tr>
        <w:trPr>
          <w:cantSplit/>
        </w:trPr>
        <w:tc>
          <w:tcPr>
            <w:tcW w:type="dxa" w:w="1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第 4 周</w:t>
            </w:r>
          </w:p>
        </w:tc>
        <w:tc>
          <w:tcPr>
            <w:tcW w:type="dxa" w:w="21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任务与产物闭环</w:t>
            </w:r>
          </w:p>
        </w:tc>
        <w:tc>
          <w:tcPr>
            <w:tcW w:type="dxa" w:w="77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完成工作台任务运行、Artifact 预览、技能管理、MCP 工具接入；搭建测试环境；完善日志、权限、异常提示。</w:t>
            </w:r>
          </w:p>
        </w:tc>
        <w:tc>
          <w:tcPr>
            <w:tcW w:type="dxa" w:w="31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任务到产物闭环可验证；测试环境可访问；软著申请材料可提交。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第 5 周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外部联动与系统测试</w:t>
            </w:r>
          </w:p>
        </w:tc>
        <w:tc>
          <w:tcPr>
            <w:tcW w:type="dxa" w:w="7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完成 IM 平台联动、定时任务、设置权限、OpenClaw 配置同步；提交软著申请；执行功能测试、集成测试、兼容性测试。</w:t>
            </w:r>
          </w:p>
        </w:tc>
        <w:tc>
          <w:tcPr>
            <w:tcW w:type="dxa" w:w="3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全功能联调通过；软著进入受理/审核；测试问题清单形成。</w:t>
            </w:r>
          </w:p>
        </w:tc>
      </w:tr>
      <w:tr>
        <w:trPr>
          <w:cantSplit/>
        </w:trPr>
        <w:tc>
          <w:tcPr>
            <w:tcW w:type="dxa" w:w="1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第 6 周</w:t>
            </w:r>
          </w:p>
        </w:tc>
        <w:tc>
          <w:tcPr>
            <w:tcW w:type="dxa" w:w="21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预发布与合规收口</w:t>
            </w:r>
          </w:p>
        </w:tc>
        <w:tc>
          <w:tcPr>
            <w:tcW w:type="dxa" w:w="77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修复缺陷；打包安装包；配置生产服务器、SSL、DNS、备份和监控；备案通过后开通站点；准备公安联网备案资料。</w:t>
            </w:r>
          </w:p>
        </w:tc>
        <w:tc>
          <w:tcPr>
            <w:tcW w:type="dxa" w:w="31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候选版本 RC；官网/下载页预发布；生产环境检查单；公安备案资料。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第 7 周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灰度上线</w:t>
            </w:r>
          </w:p>
        </w:tc>
        <w:tc>
          <w:tcPr>
            <w:tcW w:type="dxa" w:w="7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小范围发布安装包；观察下载、更新、日志、崩溃、权限弹窗；提交公安联网备案；完善帮助文档和上线公告。</w:t>
            </w:r>
          </w:p>
        </w:tc>
        <w:tc>
          <w:tcPr>
            <w:tcW w:type="dxa" w:w="3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灰度版本稳定；问题闭环；公安备案已提交；上线材料齐备。</w:t>
            </w:r>
          </w:p>
        </w:tc>
      </w:tr>
      <w:tr>
        <w:trPr>
          <w:cantSplit/>
        </w:trPr>
        <w:tc>
          <w:tcPr>
            <w:tcW w:type="dxa" w:w="1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第 8 周</w:t>
            </w:r>
          </w:p>
        </w:tc>
        <w:tc>
          <w:tcPr>
            <w:tcW w:type="dxa" w:w="21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正式上线与运维交接</w:t>
            </w:r>
          </w:p>
        </w:tc>
        <w:tc>
          <w:tcPr>
            <w:tcW w:type="dxa" w:w="77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正式发布；归档源代码、测试记录、部署记录、备案号、软著申请回执/证书；建立版本更新和应急处理机制。</w:t>
            </w:r>
          </w:p>
        </w:tc>
        <w:tc>
          <w:tcPr>
            <w:tcW w:type="dxa" w:w="31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正式上线；运维台账；阶段验收报告；后续迭代计划。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2. 功能点开发排期明细</w:t>
      </w:r>
    </w:p>
    <w:p>
      <w:pPr>
        <w:spacing w:before="0" w:after="120" w:line="288" w:lineRule="auto"/>
      </w:pPr>
      <w:r>
        <w:rPr>
          <w:rFonts w:ascii="Calibri" w:hAnsi="Calibri" w:eastAsia="PingFang SC"/>
          <w:b w:val="0"/>
          <w:i w:val="0"/>
          <w:color w:val="5C6A7C"/>
          <w:sz w:val="20"/>
        </w:rPr>
        <w:t>以下功能点承接原 3.3 代码开发与集成清单，并补充每个功能点在开发、测试和上线阶段的时间安排。</w:t>
      </w:r>
    </w:p>
    <w:tbl>
      <w:tblPr>
        <w:tblStyle w:val="TableGrid"/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150"/>
        <w:gridCol w:w="1550"/>
        <w:gridCol w:w="3800"/>
        <w:gridCol w:w="3150"/>
        <w:gridCol w:w="3300"/>
        <w:gridCol w:w="1210"/>
      </w:tblGrid>
      <w:tr>
        <w:trPr>
          <w:cantSplit/>
          <w:tblHeader w:val="true"/>
        </w:trPr>
        <w:tc>
          <w:tcPr>
            <w:tcW w:type="dxa" w:w="1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5"/>
              </w:rPr>
              <w:t>时间段</w:t>
            </w:r>
          </w:p>
        </w:tc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5"/>
              </w:rPr>
              <w:t>功能点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5"/>
              </w:rPr>
              <w:t>开发内容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5"/>
              </w:rPr>
              <w:t>UI/交互内容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5"/>
              </w:rPr>
              <w:t>测试与集成要求</w:t>
            </w:r>
          </w:p>
        </w:tc>
        <w:tc>
          <w:tcPr>
            <w:tcW w:type="dxa" w:w="12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5"/>
              </w:rPr>
              <w:t>完成标准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1-2 周</w:t>
            </w:r>
          </w:p>
        </w:tc>
        <w:tc>
          <w:tcPr>
            <w:tcW w:type="dxa" w:w="1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Cowork 会话与消息流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会话创建、继续会话、消息发送、流式输出、历史加载、失败重试、中断恢复。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会话列表、消息气泡、输入框、停止/重试、工具过程折叠、上下文提示。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单元测试覆盖消息状态转换；集成测试覆盖 OpenClaw 流式事件；重启后历史恢复。</w:t>
            </w:r>
          </w:p>
        </w:tc>
        <w:tc>
          <w:tcPr>
            <w:tcW w:type="dxa" w:w="12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核心对话链路稳定，可作为后续功能主入口。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1-2 周</w:t>
            </w:r>
          </w:p>
        </w:tc>
        <w:tc>
          <w:tcPr>
            <w:tcW w:type="dxa" w:w="15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工作空间创建</w:t>
            </w:r>
          </w:p>
        </w:tc>
        <w:tc>
          <w:tcPr>
            <w:tcW w:type="dxa" w:w="38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工作空间名称、目录选择、初始化状态、元数据保存、主页面入口。</w:t>
            </w:r>
          </w:p>
        </w:tc>
        <w:tc>
          <w:tcPr>
            <w:tcW w:type="dxa" w:w="3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创建表单、空状态、创建成功提示、工作空间入口。</w:t>
            </w:r>
          </w:p>
        </w:tc>
        <w:tc>
          <w:tcPr>
            <w:tcW w:type="dxa" w:w="3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本地数据库保存；IPC 调用可追踪；重复创建/异常目录有提示。</w:t>
            </w:r>
          </w:p>
        </w:tc>
        <w:tc>
          <w:tcPr>
            <w:tcW w:type="dxa" w:w="12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可创建、进入、重启后恢复工作空间。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2-3 周</w:t>
            </w:r>
          </w:p>
        </w:tc>
        <w:tc>
          <w:tcPr>
            <w:tcW w:type="dxa" w:w="1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资料导入与抽取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文件上传、目录选择、资料读取、内容抽取、抽取状态、失败重试。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资料列表、抽取进度、失败状态、重新执行入口。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测试大文件、空目录、异常文件；抽取结果写入并可恢复。</w:t>
            </w:r>
          </w:p>
        </w:tc>
        <w:tc>
          <w:tcPr>
            <w:tcW w:type="dxa" w:w="12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资料能入库、可查看、可在会话中引用。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2-3 周</w:t>
            </w:r>
          </w:p>
        </w:tc>
        <w:tc>
          <w:tcPr>
            <w:tcW w:type="dxa" w:w="15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工作空间 Agent 团队</w:t>
            </w:r>
          </w:p>
        </w:tc>
        <w:tc>
          <w:tcPr>
            <w:tcW w:type="dxa" w:w="38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主 Agent 与专项 Agent 配置、启停、模型选择、技能绑定、工作目录绑定。</w:t>
            </w:r>
          </w:p>
        </w:tc>
        <w:tc>
          <w:tcPr>
            <w:tcW w:type="dxa" w:w="3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Agent 侧栏、角色卡片、模型选择、技能/MCP 开关。</w:t>
            </w:r>
          </w:p>
        </w:tc>
        <w:tc>
          <w:tcPr>
            <w:tcW w:type="dxa" w:w="3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验证 agentManager、skillManager、OpenClaw agents 同步。</w:t>
            </w:r>
          </w:p>
        </w:tc>
        <w:tc>
          <w:tcPr>
            <w:tcW w:type="dxa" w:w="12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Agent 配置保存后即时生效。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3 周</w:t>
            </w:r>
          </w:p>
        </w:tc>
        <w:tc>
          <w:tcPr>
            <w:tcW w:type="dxa" w:w="1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知识库与线索搜索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资料检索、关键词搜索、来源片段、线索引用、上下文添加。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搜索框、筛选项、结果列表、引用按钮、无结果提示。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测试命中、无结果、重复引用、来源追踪。</w:t>
            </w:r>
          </w:p>
        </w:tc>
        <w:tc>
          <w:tcPr>
            <w:tcW w:type="dxa" w:w="12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用户可基于资料发起后续任务。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3-4 周</w:t>
            </w:r>
          </w:p>
        </w:tc>
        <w:tc>
          <w:tcPr>
            <w:tcW w:type="dxa" w:w="15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工作台任务运行</w:t>
            </w:r>
          </w:p>
        </w:tc>
        <w:tc>
          <w:tcPr>
            <w:tcW w:type="dxa" w:w="38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任务创建、启动、运行状态、日志摘要、结果记录。</w:t>
            </w:r>
          </w:p>
        </w:tc>
        <w:tc>
          <w:tcPr>
            <w:tcW w:type="dxa" w:w="3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任务面板、状态标签、日志摘要、失败重试入口。</w:t>
            </w:r>
          </w:p>
        </w:tc>
        <w:tc>
          <w:tcPr>
            <w:tcW w:type="dxa" w:w="3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主进程调度、运行记录存储、异常恢复测试。</w:t>
            </w:r>
          </w:p>
        </w:tc>
        <w:tc>
          <w:tcPr>
            <w:tcW w:type="dxa" w:w="12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任务状态和结果可追踪。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4 周</w:t>
            </w:r>
          </w:p>
        </w:tc>
        <w:tc>
          <w:tcPr>
            <w:tcW w:type="dxa" w:w="1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Artifact 产物预览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HTML、SVG、图片、文档、本地服务产物解析与预览。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Artifact 卡片、预览面板、下载入口、失败提示。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预览沙箱、文件隔离、预览服务异常测试。</w:t>
            </w:r>
          </w:p>
        </w:tc>
        <w:tc>
          <w:tcPr>
            <w:tcW w:type="dxa" w:w="12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产物可打开、可下载，预览失败不影响会话。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4 周</w:t>
            </w:r>
          </w:p>
        </w:tc>
        <w:tc>
          <w:tcPr>
            <w:tcW w:type="dxa" w:w="15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技能管理</w:t>
            </w:r>
          </w:p>
        </w:tc>
        <w:tc>
          <w:tcPr>
            <w:tcW w:type="dxa" w:w="38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技能列表、启用/禁用、绑定 Agent、状态同步。</w:t>
            </w:r>
          </w:p>
        </w:tc>
        <w:tc>
          <w:tcPr>
            <w:tcW w:type="dxa" w:w="3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技能列表、启用开关、详情和绑定状态。</w:t>
            </w:r>
          </w:p>
        </w:tc>
        <w:tc>
          <w:tcPr>
            <w:tcW w:type="dxa" w:w="3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skillManager、本地技能目录、OpenClaw 配置同步测试。</w:t>
            </w:r>
          </w:p>
        </w:tc>
        <w:tc>
          <w:tcPr>
            <w:tcW w:type="dxa" w:w="12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技能能被指定 Agent 使用。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4-5 周</w:t>
            </w:r>
          </w:p>
        </w:tc>
        <w:tc>
          <w:tcPr>
            <w:tcW w:type="dxa" w:w="1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MCP 工具接入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MCP 服务配置、连接状态、工具启停、调用提示。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MCP 服务列表、配置表单、连接状态、工具调用提示。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MCP runtime、权限提示、失败重试、配置持久化测试。</w:t>
            </w:r>
          </w:p>
        </w:tc>
        <w:tc>
          <w:tcPr>
            <w:tcW w:type="dxa" w:w="12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MCP 可配置、可启停、调用过程可追踪。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5 周</w:t>
            </w:r>
          </w:p>
        </w:tc>
        <w:tc>
          <w:tcPr>
            <w:tcW w:type="dxa" w:w="15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IM 平台联动</w:t>
            </w:r>
          </w:p>
        </w:tc>
        <w:tc>
          <w:tcPr>
            <w:tcW w:type="dxa" w:w="38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IM 平台配置、多实例状态、会话映射、Agent 绑定。</w:t>
            </w:r>
          </w:p>
        </w:tc>
        <w:tc>
          <w:tcPr>
            <w:tcW w:type="dxa" w:w="3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IM 设置页、平台状态、多实例列表、Agent 绑定选择。</w:t>
            </w:r>
          </w:p>
        </w:tc>
        <w:tc>
          <w:tcPr>
            <w:tcW w:type="dxa" w:w="3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IM gateway、session mapping、OpenClaw 会话映射测试。</w:t>
            </w:r>
          </w:p>
        </w:tc>
        <w:tc>
          <w:tcPr>
            <w:tcW w:type="dxa" w:w="12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外部消息可路由到指定 Agent。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5 周</w:t>
            </w:r>
          </w:p>
        </w:tc>
        <w:tc>
          <w:tcPr>
            <w:tcW w:type="dxa" w:w="1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定时任务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任务创建、触发、运行历史、失败状态、绑定 Agent。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定时任务列表、任务表单、运行历史、失败提示。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CronJobService、scheduled_task_meta、重启恢复测试。</w:t>
            </w:r>
          </w:p>
        </w:tc>
        <w:tc>
          <w:tcPr>
            <w:tcW w:type="dxa" w:w="12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定时任务可创建、触发、查看历史。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5-6 周</w:t>
            </w:r>
          </w:p>
        </w:tc>
        <w:tc>
          <w:tcPr>
            <w:tcW w:type="dxa" w:w="15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设置与权限</w:t>
            </w:r>
          </w:p>
        </w:tc>
        <w:tc>
          <w:tcPr>
            <w:tcW w:type="dxa" w:w="38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模型配置、提供商配置、工作目录、权限弹窗、安全提示。</w:t>
            </w:r>
          </w:p>
        </w:tc>
        <w:tc>
          <w:tcPr>
            <w:tcW w:type="dxa" w:w="3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设置页、模型选择、权限弹窗、保存提示。</w:t>
            </w:r>
          </w:p>
        </w:tc>
        <w:tc>
          <w:tcPr>
            <w:tcW w:type="dxa" w:w="3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配置存储、IPC 权限控制、权限拒绝/允许路径测试。</w:t>
            </w:r>
          </w:p>
        </w:tc>
        <w:tc>
          <w:tcPr>
            <w:tcW w:type="dxa" w:w="12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配置保存后本地与运行时行为一致。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5-6 周</w:t>
            </w:r>
          </w:p>
        </w:tc>
        <w:tc>
          <w:tcPr>
            <w:tcW w:type="dxa" w:w="1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OpenClaw 运行时同步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配置生成、状态检测、启动/停止、修复入口、日志定位。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运行时状态、修复按钮、日志入口、异常提示。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openclawConfigSync、openclawRuntimeAdapter、运行时管理器联调。</w:t>
            </w:r>
          </w:p>
        </w:tc>
        <w:tc>
          <w:tcPr>
            <w:tcW w:type="dxa" w:w="12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OpenClaw 稳定启动，配置修改可同步。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6 周</w:t>
            </w:r>
          </w:p>
        </w:tc>
        <w:tc>
          <w:tcPr>
            <w:tcW w:type="dxa" w:w="15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数据持久化与恢复</w:t>
            </w:r>
          </w:p>
        </w:tc>
        <w:tc>
          <w:tcPr>
            <w:tcW w:type="dxa" w:w="38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会话、消息、工作空间、Agent、任务、产物、配置持久化。</w:t>
            </w:r>
          </w:p>
        </w:tc>
        <w:tc>
          <w:tcPr>
            <w:tcW w:type="dxa" w:w="3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加载状态、恢复提示、空状态、失败说明。</w:t>
            </w:r>
          </w:p>
        </w:tc>
        <w:tc>
          <w:tcPr>
            <w:tcW w:type="dxa" w:w="3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SQLite 迁移、备份恢复、异常关闭后重启测试。</w:t>
            </w:r>
          </w:p>
        </w:tc>
        <w:tc>
          <w:tcPr>
            <w:tcW w:type="dxa" w:w="12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核心数据完整保留，异常恢复路径可用。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6-7 周</w:t>
            </w:r>
          </w:p>
        </w:tc>
        <w:tc>
          <w:tcPr>
            <w:tcW w:type="dxa" w:w="1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缺陷修复与测试</w:t>
            </w:r>
          </w:p>
        </w:tc>
        <w:tc>
          <w:tcPr>
            <w:tcW w:type="dxa" w:w="3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修复集成问题，补充单元测试、功能自测、集成记录。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补齐空/错/加载状态和用户提示。</w:t>
            </w:r>
          </w:p>
        </w:tc>
        <w:tc>
          <w:tcPr>
            <w:tcW w:type="dxa" w:w="3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完整回归、安装包验证、日志检查、灰度问题闭环。</w:t>
            </w:r>
          </w:p>
        </w:tc>
        <w:tc>
          <w:tcPr>
            <w:tcW w:type="dxa" w:w="12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进入正式上线前验收。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3. 部署上线与外部事项计划</w:t>
      </w:r>
    </w:p>
    <w:tbl>
      <w:tblPr>
        <w:tblStyle w:val="TableGrid"/>
        <w:tblW w:type="dxa" w:w="15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150"/>
        <w:gridCol w:w="1950"/>
        <w:gridCol w:w="7600"/>
        <w:gridCol w:w="1450"/>
        <w:gridCol w:w="3010"/>
      </w:tblGrid>
      <w:tr>
        <w:trPr>
          <w:cantSplit/>
          <w:tblHeader w:val="true"/>
        </w:trPr>
        <w:tc>
          <w:tcPr>
            <w:tcW w:type="dxa" w:w="1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时间段</w:t>
            </w:r>
          </w:p>
        </w:tc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事项</w:t>
            </w:r>
          </w:p>
        </w:tc>
        <w:tc>
          <w:tcPr>
            <w:tcW w:type="dxa" w:w="7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需要完成的事情</w:t>
            </w:r>
          </w:p>
        </w:tc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责任人</w:t>
            </w:r>
          </w:p>
        </w:tc>
        <w:tc>
          <w:tcPr>
            <w:tcW w:type="dxa" w:w="30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交付物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1 周</w:t>
            </w:r>
          </w:p>
        </w:tc>
        <w:tc>
          <w:tcPr>
            <w:tcW w:type="dxa" w:w="19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服务器购买与账号准备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选择云服务商；注册账号并完成实名认证；购买基础云服务器、对象存储或 CDN 资源；规划测试环境和生产环境。</w:t>
            </w:r>
          </w:p>
        </w:tc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云账号、服务器实例、资源清单、初始预算。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1 周</w:t>
            </w:r>
          </w:p>
        </w:tc>
        <w:tc>
          <w:tcPr>
            <w:tcW w:type="dxa" w:w="19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域名购买与实名</w:t>
            </w:r>
          </w:p>
        </w:tc>
        <w:tc>
          <w:tcPr>
            <w:tcW w:type="dxa" w:w="7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确定品牌域名；购买域名；完成域名实名认证；锁定官网、下载页、更新服务等子域名规划。</w:t>
            </w:r>
          </w:p>
        </w:tc>
        <w:tc>
          <w:tcPr>
            <w:tcW w:type="dxa" w:w="14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域名、实名状态、DNS 规划表。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1-2 周</w:t>
            </w:r>
          </w:p>
        </w:tc>
        <w:tc>
          <w:tcPr>
            <w:tcW w:type="dxa" w:w="19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ICP备案准备与提交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准备主体证件、负责人信息、域名证书、服务器接入信息、网站名称与服务内容；通过接入商备案系统提交。</w:t>
            </w:r>
          </w:p>
        </w:tc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开发者/接入商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ICP备案提交记录；补正清单；审核进度台账。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2-5 周</w:t>
            </w:r>
          </w:p>
        </w:tc>
        <w:tc>
          <w:tcPr>
            <w:tcW w:type="dxa" w:w="19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ICP备案跟进</w:t>
            </w:r>
          </w:p>
        </w:tc>
        <w:tc>
          <w:tcPr>
            <w:tcW w:type="dxa" w:w="7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按接入商和通信管理局要求补充材料；备案通过前不要正式开放中国大陆服务器上的公网网站。</w:t>
            </w:r>
          </w:p>
        </w:tc>
        <w:tc>
          <w:tcPr>
            <w:tcW w:type="dxa" w:w="14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开发者/接入商</w:t>
            </w:r>
          </w:p>
        </w:tc>
        <w:tc>
          <w:tcPr>
            <w:tcW w:type="dxa" w:w="30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备案号；备案号展示位置设计。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5-7 周</w:t>
            </w:r>
          </w:p>
        </w:tc>
        <w:tc>
          <w:tcPr>
            <w:tcW w:type="dxa" w:w="19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公安联网备案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网站开通后准备网站信息、主体信息、负责人信息、安全责任书等资料，在全国互联网安全管理服务平台提交。</w:t>
            </w:r>
          </w:p>
        </w:tc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公安备案提交记录；通过后在网站底部展示公网安备号。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2-4 周</w:t>
            </w:r>
          </w:p>
        </w:tc>
        <w:tc>
          <w:tcPr>
            <w:tcW w:type="dxa" w:w="19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SSL 与 DNS 配置</w:t>
            </w:r>
          </w:p>
        </w:tc>
        <w:tc>
          <w:tcPr>
            <w:tcW w:type="dxa" w:w="7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申请 SSL 证书；配置 HTTPS；设置主域、下载域、更新域解析；配置重定向和证书自动续期提醒。</w:t>
            </w:r>
          </w:p>
        </w:tc>
        <w:tc>
          <w:tcPr>
            <w:tcW w:type="dxa" w:w="14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HTTPS 可访问；证书台账；DNS 记录表。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3-5 周</w:t>
            </w:r>
          </w:p>
        </w:tc>
        <w:tc>
          <w:tcPr>
            <w:tcW w:type="dxa" w:w="19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软著材料准备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整理软件名称、版本号、功能说明、开发完成日期、源代码前后页、用户手册/操作说明、权属证明。</w:t>
            </w:r>
          </w:p>
        </w:tc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软著申请材料包。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5 周</w:t>
            </w:r>
          </w:p>
        </w:tc>
        <w:tc>
          <w:tcPr>
            <w:tcW w:type="dxa" w:w="19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软著提交</w:t>
            </w:r>
          </w:p>
        </w:tc>
        <w:tc>
          <w:tcPr>
            <w:tcW w:type="dxa" w:w="7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通过中国版权保护中心/软件登记系统提交申请；记录受理号；根据补正通知修改材料。</w:t>
            </w:r>
          </w:p>
        </w:tc>
        <w:tc>
          <w:tcPr>
            <w:tcW w:type="dxa" w:w="14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受理回执或提交记录；补正闭环记录。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4-6 周</w:t>
            </w:r>
          </w:p>
        </w:tc>
        <w:tc>
          <w:tcPr>
            <w:tcW w:type="dxa" w:w="19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隐私政策与用户协议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明确本地文件访问、模型调用、日志、IM 绑定、MCP 工具、第三方服务和用户数据处理边界。</w:t>
            </w:r>
          </w:p>
        </w:tc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隐私政策、用户协议、开源声明。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5-6 周</w:t>
            </w:r>
          </w:p>
        </w:tc>
        <w:tc>
          <w:tcPr>
            <w:tcW w:type="dxa" w:w="19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代码签名与打包资质</w:t>
            </w:r>
          </w:p>
        </w:tc>
        <w:tc>
          <w:tcPr>
            <w:tcW w:type="dxa" w:w="7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评估 macOS Developer ID、公证、Windows 代码签名证书；如需要应用商店分发，提前准备开发者账号。</w:t>
            </w:r>
          </w:p>
        </w:tc>
        <w:tc>
          <w:tcPr>
            <w:tcW w:type="dxa" w:w="14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签名证书/账号计划；打包脚本；安装包验证记录。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6 周</w:t>
            </w:r>
          </w:p>
        </w:tc>
        <w:tc>
          <w:tcPr>
            <w:tcW w:type="dxa" w:w="19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生产环境部署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部署官网/下载页/更新服务；配置安全组、防火墙、备份、日志、监控和故障恢复方案。</w:t>
            </w:r>
          </w:p>
        </w:tc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生产环境部署记录；回滚方案；备份策略。</w:t>
            </w:r>
          </w:p>
        </w:tc>
      </w:tr>
      <w:tr>
        <w:trPr>
          <w:cantSplit/>
        </w:trPr>
        <w:tc>
          <w:tcPr>
            <w:tcW w:type="dxa" w:w="11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7 周</w:t>
            </w:r>
          </w:p>
        </w:tc>
        <w:tc>
          <w:tcPr>
            <w:tcW w:type="dxa" w:w="19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灰度发布</w:t>
            </w:r>
          </w:p>
        </w:tc>
        <w:tc>
          <w:tcPr>
            <w:tcW w:type="dxa" w:w="7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小范围发布安装包；观察下载、启动、更新、日志、崩溃、权限弹窗和模型配置反馈。</w:t>
            </w:r>
          </w:p>
        </w:tc>
        <w:tc>
          <w:tcPr>
            <w:tcW w:type="dxa" w:w="14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灰度问题清单；修复记录；上线确认单。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第 8 周</w:t>
            </w:r>
          </w:p>
        </w:tc>
        <w:tc>
          <w:tcPr>
            <w:tcW w:type="dxa" w:w="19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正式上线</w:t>
            </w:r>
          </w:p>
        </w:tc>
        <w:tc>
          <w:tcPr>
            <w:tcW w:type="dxa" w:w="7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发布正式版本；同步官网、下载链接、版本说明、备案号、隐私协议、用户协议和帮助文档。</w:t>
            </w:r>
          </w:p>
        </w:tc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开发者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正式上线版本；发布记录；运维台账。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4. 功能开发、合规与上线并行关系</w:t>
      </w:r>
    </w:p>
    <w:tbl>
      <w:tblPr>
        <w:tblStyle w:val="TableGrid"/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250"/>
        <w:gridCol w:w="3600"/>
        <w:gridCol w:w="5200"/>
        <w:gridCol w:w="4110"/>
      </w:tblGrid>
      <w:tr>
        <w:trPr>
          <w:cantSplit/>
          <w:tblHeader w:val="true"/>
        </w:trPr>
        <w:tc>
          <w:tcPr>
            <w:tcW w:type="dxa" w:w="12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时段</w:t>
            </w:r>
          </w:p>
        </w:tc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功能开发重点</w:t>
            </w:r>
          </w:p>
        </w:tc>
        <w:tc>
          <w:tcPr>
            <w:tcW w:type="dxa" w:w="5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外部/合规重点</w:t>
            </w:r>
          </w:p>
        </w:tc>
        <w:tc>
          <w:tcPr>
            <w:tcW w:type="dxa" w:w="41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同时完成的结果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开发第 1 周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UI 骨架、会话、工作空间入口</w:t>
            </w:r>
          </w:p>
        </w:tc>
        <w:tc>
          <w:tcPr>
            <w:tcW w:type="dxa" w:w="5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买服务器、买域名、实名账号、准备ICP备案材料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功能入口可打开；域名和服务器具备备案条件。</w:t>
            </w:r>
          </w:p>
        </w:tc>
      </w:tr>
      <w:tr>
        <w:trPr>
          <w:cantSplit/>
        </w:trPr>
        <w:tc>
          <w:tcPr>
            <w:tcW w:type="dxa" w:w="12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开发第 2 周</w:t>
            </w:r>
          </w:p>
        </w:tc>
        <w:tc>
          <w:tcPr>
            <w:tcW w:type="dxa" w:w="3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会话主流程、工作空间创建、基础持久化</w:t>
            </w:r>
          </w:p>
        </w:tc>
        <w:tc>
          <w:tcPr>
            <w:tcW w:type="dxa" w:w="5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提交ICP备案；起草隐私政策、用户协议</w:t>
            </w:r>
          </w:p>
        </w:tc>
        <w:tc>
          <w:tcPr>
            <w:tcW w:type="dxa" w:w="41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核心链路可自测；备案进入审核。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开发第 3 周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资料抽取、Agent 团队、知识检索</w:t>
            </w:r>
          </w:p>
        </w:tc>
        <w:tc>
          <w:tcPr>
            <w:tcW w:type="dxa" w:w="5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整理软著源代码和用户手册；跟进备案补正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工作空间主流程跑通；软著材料接近完整。</w:t>
            </w:r>
          </w:p>
        </w:tc>
      </w:tr>
      <w:tr>
        <w:trPr>
          <w:cantSplit/>
        </w:trPr>
        <w:tc>
          <w:tcPr>
            <w:tcW w:type="dxa" w:w="12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开发第 4 周</w:t>
            </w:r>
          </w:p>
        </w:tc>
        <w:tc>
          <w:tcPr>
            <w:tcW w:type="dxa" w:w="3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任务运行、Artifact、技能、MCP</w:t>
            </w:r>
          </w:p>
        </w:tc>
        <w:tc>
          <w:tcPr>
            <w:tcW w:type="dxa" w:w="5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搭建测试环境；申请 SSL；确认下载站结构</w:t>
            </w:r>
          </w:p>
        </w:tc>
        <w:tc>
          <w:tcPr>
            <w:tcW w:type="dxa" w:w="41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任务产物闭环可验收；测试环境可访问。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开发第 5 周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IM、定时任务、设置权限、运行时同步</w:t>
            </w:r>
          </w:p>
        </w:tc>
        <w:tc>
          <w:tcPr>
            <w:tcW w:type="dxa" w:w="5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提交软著；补充合规文档；测试备案通过后的站点展示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全功能联调；软著有提交记录。</w:t>
            </w:r>
          </w:p>
        </w:tc>
      </w:tr>
      <w:tr>
        <w:trPr>
          <w:cantSplit/>
        </w:trPr>
        <w:tc>
          <w:tcPr>
            <w:tcW w:type="dxa" w:w="12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开发第 6 周</w:t>
            </w:r>
          </w:p>
        </w:tc>
        <w:tc>
          <w:tcPr>
            <w:tcW w:type="dxa" w:w="3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数据恢复、缺陷修复、安装包打包</w:t>
            </w:r>
          </w:p>
        </w:tc>
        <w:tc>
          <w:tcPr>
            <w:tcW w:type="dxa" w:w="5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部署生产环境；配置 DNS/HTTPS/备份/监控</w:t>
            </w:r>
          </w:p>
        </w:tc>
        <w:tc>
          <w:tcPr>
            <w:tcW w:type="dxa" w:w="41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候选版本和生产环境同时就绪。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开发第 7 周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灰度问题修复</w:t>
            </w:r>
          </w:p>
        </w:tc>
        <w:tc>
          <w:tcPr>
            <w:tcW w:type="dxa" w:w="5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提交公安联网备案；完善帮助文档、上线公告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灰度版本稳定，正式上线材料齐全。</w:t>
            </w:r>
          </w:p>
        </w:tc>
      </w:tr>
      <w:tr>
        <w:trPr>
          <w:cantSplit/>
        </w:trPr>
        <w:tc>
          <w:tcPr>
            <w:tcW w:type="dxa" w:w="12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开发第 8 周</w:t>
            </w:r>
          </w:p>
        </w:tc>
        <w:tc>
          <w:tcPr>
            <w:tcW w:type="dxa" w:w="3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正式发布与运维交接</w:t>
            </w:r>
          </w:p>
        </w:tc>
        <w:tc>
          <w:tcPr>
            <w:tcW w:type="dxa" w:w="5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归档备案、软著、部署、测试、发布材料</w:t>
            </w:r>
          </w:p>
        </w:tc>
        <w:tc>
          <w:tcPr>
            <w:tcW w:type="dxa" w:w="41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项目上线并进入持续维护。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5. 阶段验收标准</w:t>
      </w:r>
    </w:p>
    <w:tbl>
      <w:tblPr>
        <w:tblStyle w:val="TableGrid"/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2200"/>
        <w:gridCol w:w="7500"/>
        <w:gridCol w:w="446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验收类型</w:t>
            </w:r>
          </w:p>
        </w:tc>
        <w:tc>
          <w:tcPr>
            <w:tcW w:type="dxa" w:w="7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完成标准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证明材料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开发完成验收</w:t>
            </w:r>
          </w:p>
        </w:tc>
        <w:tc>
          <w:tcPr>
            <w:tcW w:type="dxa" w:w="7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15 个核心功能点均完成；关键数据可持久化；OpenClaw 能稳定启动和同步配置；主要异常有提示。</w:t>
            </w:r>
          </w:p>
        </w:tc>
        <w:tc>
          <w:tcPr>
            <w:tcW w:type="dxa" w:w="4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功能自测记录、关键截图、集成记录、问题清单。</w:t>
            </w:r>
          </w:p>
        </w:tc>
      </w:tr>
      <w:tr>
        <w:trPr>
          <w:cantSplit/>
        </w:trPr>
        <w:tc>
          <w:tcPr>
            <w:tcW w:type="dxa" w:w="2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测试验收</w:t>
            </w:r>
          </w:p>
        </w:tc>
        <w:tc>
          <w:tcPr>
            <w:tcW w:type="dxa" w:w="75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单元测试、集成测试、安装包测试、重启恢复测试、权限拒绝测试、预览失败测试通过。</w:t>
            </w:r>
          </w:p>
        </w:tc>
        <w:tc>
          <w:tcPr>
            <w:tcW w:type="dxa" w:w="44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测试报告、失败修复记录、版本号。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部署验收</w:t>
            </w:r>
          </w:p>
        </w:tc>
        <w:tc>
          <w:tcPr>
            <w:tcW w:type="dxa" w:w="7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官网/下载页/更新服务可访问；HTTPS 正常；DNS 生效；备份、日志、监控和回滚方案可用。</w:t>
            </w:r>
          </w:p>
        </w:tc>
        <w:tc>
          <w:tcPr>
            <w:tcW w:type="dxa" w:w="4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部署记录、服务器资源表、回滚说明。</w:t>
            </w:r>
          </w:p>
        </w:tc>
      </w:tr>
      <w:tr>
        <w:trPr>
          <w:cantSplit/>
        </w:trPr>
        <w:tc>
          <w:tcPr>
            <w:tcW w:type="dxa" w:w="2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备案验收</w:t>
            </w:r>
          </w:p>
        </w:tc>
        <w:tc>
          <w:tcPr>
            <w:tcW w:type="dxa" w:w="75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ICP备案状态明确；网站底部展示备案号；公安联网备案已提交或通过；备案信息与实际网站一致。</w:t>
            </w:r>
          </w:p>
        </w:tc>
        <w:tc>
          <w:tcPr>
            <w:tcW w:type="dxa" w:w="44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备案号、公安备案号或提交记录、展示截图。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软著验收</w:t>
            </w:r>
          </w:p>
        </w:tc>
        <w:tc>
          <w:tcPr>
            <w:tcW w:type="dxa" w:w="7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软著申请已提交，材料包含申请表、源代码、说明文档、权属信息；如有补正已闭环。</w:t>
            </w:r>
          </w:p>
        </w:tc>
        <w:tc>
          <w:tcPr>
            <w:tcW w:type="dxa" w:w="4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软著提交回执、受理号、补正记录或证书。</w:t>
            </w:r>
          </w:p>
        </w:tc>
      </w:tr>
      <w:tr>
        <w:trPr>
          <w:cantSplit/>
        </w:trPr>
        <w:tc>
          <w:tcPr>
            <w:tcW w:type="dxa" w:w="2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上线验收</w:t>
            </w:r>
          </w:p>
        </w:tc>
        <w:tc>
          <w:tcPr>
            <w:tcW w:type="dxa" w:w="75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正式安装包可下载、可安装、可启动；版本说明、隐私政策、用户协议、帮助文档完整。</w:t>
            </w:r>
          </w:p>
        </w:tc>
        <w:tc>
          <w:tcPr>
            <w:tcW w:type="dxa" w:w="44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正式发布包、发布记录、上线确认单。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6. 资源与成本准备清单</w:t>
      </w:r>
    </w:p>
    <w:tbl>
      <w:tblPr>
        <w:tblStyle w:val="TableGrid"/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2300"/>
        <w:gridCol w:w="3850"/>
        <w:gridCol w:w="4200"/>
        <w:gridCol w:w="3810"/>
      </w:tblGrid>
      <w:tr>
        <w:trPr>
          <w:cantSplit/>
          <w:tblHeader w:val="true"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资源/成本项</w:t>
            </w:r>
          </w:p>
        </w:tc>
        <w:tc>
          <w:tcPr>
            <w:tcW w:type="dxa" w:w="3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用途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计划动作</w:t>
            </w:r>
          </w:p>
        </w:tc>
        <w:tc>
          <w:tcPr>
            <w:tcW w:type="dxa" w:w="3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注意事项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云服务器</w:t>
            </w:r>
          </w:p>
        </w:tc>
        <w:tc>
          <w:tcPr>
            <w:tcW w:type="dxa" w:w="3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官网、下载页、更新服务、轻量 API 或日志接收。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第 1 周购买，建议先买低配实例，测试后再扩容。</w:t>
            </w:r>
          </w:p>
        </w:tc>
        <w:tc>
          <w:tcPr>
            <w:tcW w:type="dxa" w:w="38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配置安全组、备份、监控、系统更新和最小权限。</w:t>
            </w:r>
          </w:p>
        </w:tc>
      </w:tr>
      <w:tr>
        <w:trPr>
          <w:cantSplit/>
        </w:trPr>
        <w:tc>
          <w:tcPr>
            <w:tcW w:type="dxa" w:w="2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域名</w:t>
            </w:r>
          </w:p>
        </w:tc>
        <w:tc>
          <w:tcPr>
            <w:tcW w:type="dxa" w:w="38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品牌官网、下载地址、更新地址。</w:t>
            </w:r>
          </w:p>
        </w:tc>
        <w:tc>
          <w:tcPr>
            <w:tcW w:type="dxa" w:w="4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第 1 周购买并实名，备案前确保域名主体信息一致。</w:t>
            </w:r>
          </w:p>
        </w:tc>
        <w:tc>
          <w:tcPr>
            <w:tcW w:type="dxa" w:w="38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域名到期提醒、DNS 变更记录、备案主体一致性。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对象存储/CDN</w:t>
            </w:r>
          </w:p>
        </w:tc>
        <w:tc>
          <w:tcPr>
            <w:tcW w:type="dxa" w:w="3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安装包、版本文件、静态资源加速。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第 4-6 周接入，可先用对象存储，灰度后再开 CDN。</w:t>
            </w:r>
          </w:p>
        </w:tc>
        <w:tc>
          <w:tcPr>
            <w:tcW w:type="dxa" w:w="38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安装包权限、下载防盗链、日志留存。</w:t>
            </w:r>
          </w:p>
        </w:tc>
      </w:tr>
      <w:tr>
        <w:trPr>
          <w:cantSplit/>
        </w:trPr>
        <w:tc>
          <w:tcPr>
            <w:tcW w:type="dxa" w:w="2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SSL 证书</w:t>
            </w:r>
          </w:p>
        </w:tc>
        <w:tc>
          <w:tcPr>
            <w:tcW w:type="dxa" w:w="38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HTTPS 访问、下载安全、浏览器信任。</w:t>
            </w:r>
          </w:p>
        </w:tc>
        <w:tc>
          <w:tcPr>
            <w:tcW w:type="dxa" w:w="4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第 2-4 周申请并配置自动续期提醒。</w:t>
            </w:r>
          </w:p>
        </w:tc>
        <w:tc>
          <w:tcPr>
            <w:tcW w:type="dxa" w:w="38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证书到期提醒、HTTPS 强制跳转。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代码签名证书</w:t>
            </w:r>
          </w:p>
        </w:tc>
        <w:tc>
          <w:tcPr>
            <w:tcW w:type="dxa" w:w="3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降低 Windows/macOS 安装警告，提升发布可信度。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第 5-6 周评估是否购买或申请开发者账号。</w:t>
            </w:r>
          </w:p>
        </w:tc>
        <w:tc>
          <w:tcPr>
            <w:tcW w:type="dxa" w:w="38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证书保管、签名密钥安全、打包流程记录。</w:t>
            </w:r>
          </w:p>
        </w:tc>
      </w:tr>
      <w:tr>
        <w:trPr>
          <w:cantSplit/>
        </w:trPr>
        <w:tc>
          <w:tcPr>
            <w:tcW w:type="dxa" w:w="2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模型/API 费用</w:t>
            </w:r>
          </w:p>
        </w:tc>
        <w:tc>
          <w:tcPr>
            <w:tcW w:type="dxa" w:w="385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AI 模型调用、测试额度、演示额度。</w:t>
            </w:r>
          </w:p>
        </w:tc>
        <w:tc>
          <w:tcPr>
            <w:tcW w:type="dxa" w:w="4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第 1-2 周确定提供商和预算上限。</w:t>
            </w:r>
          </w:p>
        </w:tc>
        <w:tc>
          <w:tcPr>
            <w:tcW w:type="dxa" w:w="381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密钥保管、限额、调用日志。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软著申请</w:t>
            </w:r>
          </w:p>
        </w:tc>
        <w:tc>
          <w:tcPr>
            <w:tcW w:type="dxa" w:w="3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知识产权证明、项目结项、投标或产品登记材料。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第 3 周准备，第 5 周提交。</w:t>
            </w:r>
          </w:p>
        </w:tc>
        <w:tc>
          <w:tcPr>
            <w:tcW w:type="dxa" w:w="38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源代码脱敏、权属一致、版本号固定。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7. 风险与前置依赖</w:t>
      </w:r>
    </w:p>
    <w:tbl>
      <w:tblPr>
        <w:tblStyle w:val="TableGrid"/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2600"/>
        <w:gridCol w:w="4100"/>
        <w:gridCol w:w="7460"/>
      </w:tblGrid>
      <w:tr>
        <w:trPr>
          <w:cantSplit/>
          <w:tblHeader w:val="true"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风险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影响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7"/>
              </w:rPr>
              <w:t>应对计划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ICP备案审核延迟</w:t>
            </w:r>
          </w:p>
        </w:tc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官网/下载站无法按计划在大陆服务器正式开放。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第 1 周即购买服务器和域名，第 2 周提交备案；上线页可先准备静态版本，等待备案通过后开放。</w:t>
            </w:r>
          </w:p>
        </w:tc>
      </w:tr>
      <w:tr>
        <w:trPr>
          <w:cantSplit/>
        </w:trPr>
        <w:tc>
          <w:tcPr>
            <w:tcW w:type="dxa" w:w="2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软著材料补正</w:t>
            </w:r>
          </w:p>
        </w:tc>
        <w:tc>
          <w:tcPr>
            <w:tcW w:type="dxa" w:w="41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证书获取时间晚于项目验收或商务材料提交。</w:t>
            </w:r>
          </w:p>
        </w:tc>
        <w:tc>
          <w:tcPr>
            <w:tcW w:type="dxa" w:w="74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第 3 周开始整理源代码和说明文档，固定软件名称、版本号、权属信息；提交后每日跟进。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OpenClaw 集成异常</w:t>
            </w:r>
          </w:p>
        </w:tc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核心任务无法稳定执行，影响工作空间主流程。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优先在 LobsterAI 集成层处理，必要时形成版本化补丁；保留运行时日志和回滚路径。</w:t>
            </w:r>
          </w:p>
        </w:tc>
      </w:tr>
      <w:tr>
        <w:trPr>
          <w:cantSplit/>
        </w:trPr>
        <w:tc>
          <w:tcPr>
            <w:tcW w:type="dxa" w:w="2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安装包被系统拦截</w:t>
            </w:r>
          </w:p>
        </w:tc>
        <w:tc>
          <w:tcPr>
            <w:tcW w:type="dxa" w:w="41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用户下载或安装受阻。</w:t>
            </w:r>
          </w:p>
        </w:tc>
        <w:tc>
          <w:tcPr>
            <w:tcW w:type="dxa" w:w="74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提前评估代码签名、公证和杀毒误报；灰度期收集不同系统的安装反馈。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个人开发者时间不足</w:t>
            </w:r>
          </w:p>
        </w:tc>
        <w:tc>
          <w:tcPr>
            <w:tcW w:type="dxa" w:w="4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开发、测试、备案、软著并行导致延期。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把外部事项前置；每周固定半天处理备案/软著/部署文档；功能按 P0/P1 排优先级。</w:t>
            </w:r>
          </w:p>
        </w:tc>
      </w:tr>
      <w:tr>
        <w:trPr>
          <w:cantSplit/>
        </w:trPr>
        <w:tc>
          <w:tcPr>
            <w:tcW w:type="dxa" w:w="26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数据与隐私合规不足</w:t>
            </w:r>
          </w:p>
        </w:tc>
        <w:tc>
          <w:tcPr>
            <w:tcW w:type="dxa" w:w="41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上线后隐私政策、日志采集、第三方服务说明不完整。</w:t>
            </w:r>
          </w:p>
        </w:tc>
        <w:tc>
          <w:tcPr>
            <w:tcW w:type="dxa" w:w="74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6"/>
              </w:rPr>
              <w:t>第 2 周起草隐私政策，第 5 周随测试同步核对数据流和第三方服务。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8. 上线前最终检查清单</w:t>
      </w:r>
    </w:p>
    <w:tbl>
      <w:tblPr>
        <w:tblStyle w:val="TableGrid"/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2200"/>
        <w:gridCol w:w="1196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8"/>
              </w:rPr>
              <w:t>检查类别</w:t>
            </w:r>
          </w:p>
        </w:tc>
        <w:tc>
          <w:tcPr>
            <w:tcW w:type="dxa" w:w="1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8"/>
              </w:rPr>
              <w:t>检查内容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功能</w:t>
            </w:r>
          </w:p>
        </w:tc>
        <w:tc>
          <w:tcPr>
            <w:tcW w:type="dxa" w:w="11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15 个功能点均通过自测；关键路径无阻塞缺陷；异常状态提示完整。</w:t>
            </w:r>
          </w:p>
        </w:tc>
      </w:tr>
      <w:tr>
        <w:trPr>
          <w:cantSplit/>
        </w:trPr>
        <w:tc>
          <w:tcPr>
            <w:tcW w:type="dxa" w:w="2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数据</w:t>
            </w:r>
          </w:p>
        </w:tc>
        <w:tc>
          <w:tcPr>
            <w:tcW w:type="dxa" w:w="119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会话、工作空间、Agent、任务、产物、配置重启后可恢复；数据库迁移可执行。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运行时</w:t>
            </w:r>
          </w:p>
        </w:tc>
        <w:tc>
          <w:tcPr>
            <w:tcW w:type="dxa" w:w="11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OpenClaw 启动、配置同步、日志定位、修复入口可用。</w:t>
            </w:r>
          </w:p>
        </w:tc>
      </w:tr>
      <w:tr>
        <w:trPr>
          <w:cantSplit/>
        </w:trPr>
        <w:tc>
          <w:tcPr>
            <w:tcW w:type="dxa" w:w="2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安装包</w:t>
            </w:r>
          </w:p>
        </w:tc>
        <w:tc>
          <w:tcPr>
            <w:tcW w:type="dxa" w:w="119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Windows/macOS/Linux 至少完成目标平台安装测试；版本号、发布说明、卸载/升级路径明确。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服务器</w:t>
            </w:r>
          </w:p>
        </w:tc>
        <w:tc>
          <w:tcPr>
            <w:tcW w:type="dxa" w:w="11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生产环境、HTTPS、DNS、备份、监控、回滚方案就绪。</w:t>
            </w:r>
          </w:p>
        </w:tc>
      </w:tr>
      <w:tr>
        <w:trPr>
          <w:cantSplit/>
        </w:trPr>
        <w:tc>
          <w:tcPr>
            <w:tcW w:type="dxa" w:w="2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备案</w:t>
            </w:r>
          </w:p>
        </w:tc>
        <w:tc>
          <w:tcPr>
            <w:tcW w:type="dxa" w:w="119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ICP备案号已获得或备案状态明确；公安联网备案已提交或计划在网站开通后按期完成。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软著</w:t>
            </w:r>
          </w:p>
        </w:tc>
        <w:tc>
          <w:tcPr>
            <w:tcW w:type="dxa" w:w="11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申请已提交并有回执；材料和版本归档；证书到达后补充归档。</w:t>
            </w:r>
          </w:p>
        </w:tc>
      </w:tr>
      <w:tr>
        <w:trPr>
          <w:cantSplit/>
        </w:trPr>
        <w:tc>
          <w:tcPr>
            <w:tcW w:type="dxa" w:w="2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文档</w:t>
            </w:r>
          </w:p>
        </w:tc>
        <w:tc>
          <w:tcPr>
            <w:tcW w:type="dxa" w:w="119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隐私政策、用户协议、帮助文档、开源声明、上线公告齐全。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运维</w:t>
            </w:r>
          </w:p>
        </w:tc>
        <w:tc>
          <w:tcPr>
            <w:tcW w:type="dxa" w:w="11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问题反馈入口、日志收集方式、紧急修复流程、版本更新节奏明确。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PingFang SC"/>
          <w:b/>
          <w:color w:val="2E74B5"/>
          <w:sz w:val="32"/>
        </w:rPr>
        <w:t>9. 参考入口与办理平台</w:t>
      </w:r>
    </w:p>
    <w:tbl>
      <w:tblPr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2EC"/>
          <w:left w:val="single" w:sz="4" w:space="0" w:color="D8E2EC"/>
          <w:bottom w:val="single" w:sz="4" w:space="0" w:color="D8E2EC"/>
          <w:right w:val="single" w:sz="4" w:space="0" w:color="D8E2EC"/>
          <w:insideH w:val="single" w:sz="4" w:space="0" w:color="D8E2EC"/>
          <w:insideV w:val="single" w:sz="4" w:space="0" w:color="D8E2EC"/>
        </w:tblBorders>
      </w:tblPr>
      <w:tblGrid>
        <w:gridCol w:w="14160"/>
      </w:tblGrid>
      <w:tr>
        <w:trPr>
          <w:cantSplit/>
        </w:trPr>
        <w:tc>
          <w:tcPr>
            <w:tcW w:type="dxa" w:w="1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 w:line="269" w:lineRule="auto"/>
            </w:pPr>
            <w:r>
              <w:rPr>
                <w:rFonts w:ascii="Calibri" w:hAnsi="Calibri" w:eastAsia="PingFang SC"/>
                <w:b/>
                <w:color w:val="7A5A00"/>
                <w:sz w:val="20"/>
              </w:rPr>
              <w:t>办理口径：</w:t>
            </w:r>
            <w:r>
              <w:rPr>
                <w:rFonts w:ascii="Calibri" w:hAnsi="Calibri" w:eastAsia="PingFang SC"/>
                <w:color w:val="1C2B3B"/>
                <w:sz w:val="20"/>
              </w:rPr>
              <w:t>以下为计划编制时使用的公开入口，实际办理材料、审核周期和展示要求应以平台最新要求、接入服务商提示和所在地主管部门要求为准。</w:t>
            </w:r>
          </w:p>
        </w:tc>
      </w:tr>
    </w:tbl>
    <w:tbl>
      <w:tblPr>
        <w:tblStyle w:val="TableGrid"/>
        <w:tblW w:type="dxa" w:w="141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2200"/>
        <w:gridCol w:w="5300"/>
        <w:gridCol w:w="666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8"/>
              </w:rPr>
              <w:t>事项</w:t>
            </w:r>
          </w:p>
        </w:tc>
        <w:tc>
          <w:tcPr>
            <w:tcW w:type="dxa" w:w="5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8"/>
              </w:rPr>
              <w:t>公开入口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8"/>
              </w:rPr>
              <w:t>链接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ICP备案</w:t>
            </w:r>
          </w:p>
        </w:tc>
        <w:tc>
          <w:tcPr>
            <w:tcW w:type="dxa" w:w="5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工业和信息化部 ICP/IP 地址/域名信息备案管理系统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https://beian.miit.gov.cn/</w:t>
            </w:r>
          </w:p>
        </w:tc>
      </w:tr>
      <w:tr>
        <w:trPr>
          <w:cantSplit/>
        </w:trPr>
        <w:tc>
          <w:tcPr>
            <w:tcW w:type="dxa" w:w="2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公安联网备案</w:t>
            </w:r>
          </w:p>
        </w:tc>
        <w:tc>
          <w:tcPr>
            <w:tcW w:type="dxa" w:w="5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全国互联网安全管理服务平台</w:t>
            </w:r>
          </w:p>
        </w:tc>
        <w:tc>
          <w:tcPr>
            <w:tcW w:type="dxa" w:w="66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https://beian.mps.gov.cn/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软件著作权</w:t>
            </w:r>
          </w:p>
        </w:tc>
        <w:tc>
          <w:tcPr>
            <w:tcW w:type="dxa" w:w="5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中国版权保护中心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https://www.ccopyright.com.cn/</w:t>
            </w:r>
          </w:p>
        </w:tc>
      </w:tr>
      <w:tr>
        <w:trPr>
          <w:cantSplit/>
        </w:trPr>
        <w:tc>
          <w:tcPr>
            <w:tcW w:type="dxa" w:w="22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软件登记系统</w:t>
            </w:r>
          </w:p>
        </w:tc>
        <w:tc>
          <w:tcPr>
            <w:tcW w:type="dxa" w:w="530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中国版权保护中心软件登记系统</w:t>
            </w:r>
          </w:p>
        </w:tc>
        <w:tc>
          <w:tcPr>
            <w:tcW w:type="dxa" w:w="6660"/>
            <w:shd w:fill="F7F9FC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https://register.ccopyright.com.cn/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版权主管部门</w:t>
            </w:r>
          </w:p>
        </w:tc>
        <w:tc>
          <w:tcPr>
            <w:tcW w:type="dxa" w:w="5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国家版权局</w:t>
            </w:r>
          </w:p>
        </w:tc>
        <w:tc>
          <w:tcPr>
            <w:tcW w:type="dxa" w:w="6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7"/>
              </w:rPr>
              <w:t>https://www.ncac.gov.cn/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792" w:bottom="936" w:left="79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5C6A7C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PingFang SC"/>
        <w:color w:val="5C6A7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PingFang SC"/>
        <w:color w:val="5C6A7C"/>
        <w:sz w:val="18"/>
      </w:rPr>
      <w:t>宇智汇和 AI 助手 | 开发至部署上线全流程计划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PingFang SC"/>
      <w:color w:val="1C2B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8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宇智汇和 AI 助手开发至部署上线全流程计划</dc:title>
  <dc:subject>从功能开发到部署上线、备案、软著和运维的全流程计划</dc:subject>
  <dc:creator>个人开发者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