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 w:line="276" w:lineRule="auto"/>
        <w:jc w:val="center"/>
      </w:pPr>
      <w:r>
        <w:rPr>
          <w:rFonts w:ascii="Calibri" w:hAnsi="Calibri" w:eastAsia="PingFang SC"/>
          <w:b/>
          <w:i w:val="0"/>
          <w:color w:val="2E74B5"/>
          <w:sz w:val="44"/>
        </w:rPr>
        <w:t>3.3 代码开发与集成阶段详细清单</w:t>
      </w:r>
    </w:p>
    <w:p>
      <w:pPr>
        <w:spacing w:before="0" w:after="360" w:line="276" w:lineRule="auto"/>
        <w:jc w:val="center"/>
      </w:pPr>
      <w:r>
        <w:rPr>
          <w:rFonts w:ascii="Calibri" w:hAnsi="Calibri" w:eastAsia="PingFang SC"/>
          <w:b w:val="0"/>
          <w:i w:val="0"/>
          <w:color w:val="5B6A7C"/>
          <w:sz w:val="23"/>
        </w:rPr>
        <w:t>宇智汇和 AI 助手项目 | 个人开发者实施版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6E2"/>
          <w:left w:val="single" w:sz="4" w:space="0" w:color="CBD6E2"/>
          <w:bottom w:val="single" w:sz="4" w:space="0" w:color="CBD6E2"/>
          <w:right w:val="single" w:sz="4" w:space="0" w:color="CBD6E2"/>
          <w:insideH w:val="single" w:sz="4" w:space="0" w:color="CBD6E2"/>
          <w:insideV w:val="single" w:sz="4" w:space="0" w:color="CBD6E2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20"/>
              </w:rPr>
              <w:t>核心任务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20"/>
              </w:rPr>
              <w:t>完成范围内功能开发、缺陷修复和集成适配；优先使用现有本地 helper、shared constants、Redux slice 与服务封装；OpenClaw 相关行为优先在 LobsterAI 集成层处理，必要时再形成版本化补丁。</w:t>
            </w:r>
          </w:p>
        </w:tc>
      </w:tr>
      <w:tr>
        <w:trPr>
          <w:cantSplit/>
        </w:trPr>
        <w:tc>
          <w:tcPr>
            <w:tcW w:type="dxa" w:w="180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20"/>
              </w:rPr>
              <w:t>交付成果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20"/>
              </w:rPr>
              <w:t>完整项目源代码、单元测试、集成记录、运行时配置同步结果。</w:t>
            </w:r>
          </w:p>
        </w:tc>
      </w:tr>
      <w:tr>
        <w:trPr>
          <w:cantSplit/>
        </w:trPr>
        <w:tc>
          <w:tcPr>
            <w:tcW w:type="dxa" w:w="180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20"/>
              </w:rPr>
              <w:t>负责人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20"/>
              </w:rPr>
              <w:t>个人开发者（兼前端、主进程与运行时集成）。</w:t>
            </w:r>
          </w:p>
        </w:tc>
      </w:tr>
      <w:tr>
        <w:trPr>
          <w:cantSplit/>
        </w:trPr>
        <w:tc>
          <w:tcPr>
            <w:tcW w:type="dxa" w:w="1800"/>
            <w:shd w:fill="E8EEF5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20"/>
              </w:rPr>
              <w:t>工期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20"/>
              </w:rPr>
              <w:t>15 个工作日。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3.3.1 阶段实施分析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color w:val="1C2B3B"/>
          <w:sz w:val="21"/>
        </w:rPr>
        <w:t>本阶段目标是把前期需求和概要设计落到可运行、可验证的桌面端功能中，形成“界面可操作、数据可保存、主进程可调度、OpenClaw 可稳定执行”的完整闭环。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color w:val="1C2B3B"/>
          <w:sz w:val="21"/>
        </w:rPr>
        <w:t>开发顺序以工作空间主流程为主线，先完成用户可见的核心路径，再补齐异常处理、权限控制、日志与测试。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color w:val="1C2B3B"/>
          <w:sz w:val="21"/>
        </w:rPr>
        <w:t>UI 优先完成信息架构：左侧保留 Agent/会话树与工作空间入口，中央承载 Cowork 对话和任务过程，右侧承载 Artifact 预览、工作空间资料、运行状态和结果面板。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color w:val="1C2B3B"/>
          <w:sz w:val="21"/>
        </w:rPr>
        <w:t>主进程与数据层同步推进：新增或调整 IPC channel、状态码、模式选择器时统一放入 shared constants；会话、工作空间、Agent、任务和运行记录统一走既有 store/service 封装。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color w:val="1C2B3B"/>
          <w:sz w:val="21"/>
        </w:rPr>
        <w:t>OpenClaw 集成采用边界优先策略：产品侧能力优先在 openclawConfigSync、openclawRuntimeAdapter、Cowork store 与本地配置层处理；确需改运行时内部行为时，再形成与 openclaw.version 对应的修改文件。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color w:val="1C2B3B"/>
          <w:sz w:val="21"/>
        </w:rPr>
        <w:t>每个功能点完成后立即进行功能自测，检查正常路径、空状态、加载状态、失败提示、权限弹窗、数据保存和重启后的状态恢复。</w:t>
      </w:r>
    </w:p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3.3.2 UI 设计与交互重点</w:t>
      </w:r>
    </w:p>
    <w:tbl>
      <w:tblPr>
        <w:tblStyle w:val="TableGrid"/>
        <w:tblW w:type="dxa" w:w="120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6E2"/>
          <w:left w:val="single" w:sz="4" w:space="0" w:color="CBD6E2"/>
          <w:bottom w:val="single" w:sz="4" w:space="0" w:color="CBD6E2"/>
          <w:right w:val="single" w:sz="4" w:space="0" w:color="CBD6E2"/>
          <w:insideH w:val="single" w:sz="4" w:space="0" w:color="CBD6E2"/>
          <w:insideV w:val="single" w:sz="4" w:space="0" w:color="CBD6E2"/>
        </w:tblBorders>
      </w:tblPr>
      <w:tblGrid>
        <w:gridCol w:w="1800"/>
        <w:gridCol w:w="4750"/>
        <w:gridCol w:w="5510"/>
      </w:tblGrid>
      <w:tr>
        <w:trPr>
          <w:tblHeader w:val="true"/>
          <w:cantSplit/>
        </w:trPr>
        <w:tc>
          <w:tcPr>
            <w:tcW w:type="dxa" w:w="1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9"/>
              </w:rPr>
              <w:t>界面区域</w:t>
            </w:r>
          </w:p>
        </w:tc>
        <w:tc>
          <w:tcPr>
            <w:tcW w:type="dxa" w:w="47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9"/>
              </w:rPr>
              <w:t>UI 设计内容</w:t>
            </w:r>
          </w:p>
        </w:tc>
        <w:tc>
          <w:tcPr>
            <w:tcW w:type="dxa" w:w="551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9"/>
              </w:rPr>
              <w:t>交互要求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会话与输入区</w:t>
            </w:r>
          </w:p>
        </w:tc>
        <w:tc>
          <w:tcPr>
            <w:tcW w:type="dxa" w:w="47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消息流、Prompt 输入框、模型/Agent 标识、思考过程、工具调用、权限弹窗、上下文用量提示。</w:t>
            </w:r>
          </w:p>
        </w:tc>
        <w:tc>
          <w:tcPr>
            <w:tcW w:type="dxa" w:w="55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输入、流式输出、取消/重试、错误提示和权限弹窗要保持同一会话上下文，不让用户丢失正在进行的任务。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工作空间面板</w:t>
            </w:r>
          </w:p>
        </w:tc>
        <w:tc>
          <w:tcPr>
            <w:tcW w:type="dxa" w:w="47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工作空间创建入口、资料导入/抽取进度、文件目录、知识片段、线索列表、空状态与失败状态。</w:t>
            </w:r>
          </w:p>
        </w:tc>
        <w:tc>
          <w:tcPr>
            <w:tcW w:type="dxa" w:w="55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支持从创建到资料入库的连续操作；长任务展示进度和可恢复状态，失败时给出可重新执行的入口。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Agent 团队与设置</w:t>
            </w:r>
          </w:p>
        </w:tc>
        <w:tc>
          <w:tcPr>
            <w:tcW w:type="dxa" w:w="47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Agent 列表、头像/状态、角色说明、模型选择、技能/MCP 开关、工作目录与权限范围。</w:t>
            </w:r>
          </w:p>
        </w:tc>
        <w:tc>
          <w:tcPr>
            <w:tcW w:type="dxa" w:w="55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突出主 Agent + 专项 Agent 的配置效率，表单保存后即时同步到本地状态和 OpenClaw 配置。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任务与产物区</w:t>
            </w:r>
          </w:p>
        </w:tc>
        <w:tc>
          <w:tcPr>
            <w:tcW w:type="dxa" w:w="47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工作台标签页、任务运行记录、Artifact 卡片、HTML/SVG/文档预览、本地服务预览与下载入口。</w:t>
            </w:r>
          </w:p>
        </w:tc>
        <w:tc>
          <w:tcPr>
            <w:tcW w:type="dxa" w:w="551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任务过程、结果产物和可预览内容保持关联；预览失败时保留原始文件入口和错误说明。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3.3.3 功能点开发清单</w:t>
      </w:r>
    </w:p>
    <w:tbl>
      <w:tblPr>
        <w:tblStyle w:val="TableGrid"/>
        <w:tblW w:type="dxa" w:w="120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6E2"/>
          <w:left w:val="single" w:sz="4" w:space="0" w:color="CBD6E2"/>
          <w:bottom w:val="single" w:sz="4" w:space="0" w:color="CBD6E2"/>
          <w:right w:val="single" w:sz="4" w:space="0" w:color="CBD6E2"/>
          <w:insideH w:val="single" w:sz="4" w:space="0" w:color="CBD6E2"/>
          <w:insideV w:val="single" w:sz="4" w:space="0" w:color="CBD6E2"/>
        </w:tblBorders>
      </w:tblPr>
      <w:tblGrid>
        <w:gridCol w:w="520"/>
        <w:gridCol w:w="1500"/>
        <w:gridCol w:w="2700"/>
        <w:gridCol w:w="2550"/>
        <w:gridCol w:w="2550"/>
        <w:gridCol w:w="2240"/>
      </w:tblGrid>
      <w:tr>
        <w:trPr>
          <w:tblHeader w:val="true"/>
          <w:cantSplit/>
        </w:trPr>
        <w:tc>
          <w:tcPr>
            <w:tcW w:type="dxa" w:w="52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6"/>
              </w:rPr>
              <w:t>序号</w:t>
            </w:r>
          </w:p>
        </w:tc>
        <w:tc>
          <w:tcPr>
            <w:tcW w:type="dxa" w:w="15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6"/>
              </w:rPr>
              <w:t>功能点</w:t>
            </w:r>
          </w:p>
        </w:tc>
        <w:tc>
          <w:tcPr>
            <w:tcW w:type="dxa" w:w="27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6"/>
              </w:rPr>
              <w:t>具体开发内容</w:t>
            </w:r>
          </w:p>
        </w:tc>
        <w:tc>
          <w:tcPr>
            <w:tcW w:type="dxa" w:w="25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6"/>
              </w:rPr>
              <w:t>UI 设计内容</w:t>
            </w:r>
          </w:p>
        </w:tc>
        <w:tc>
          <w:tcPr>
            <w:tcW w:type="dxa" w:w="255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6"/>
              </w:rPr>
              <w:t>集成与适配内容</w:t>
            </w:r>
          </w:p>
        </w:tc>
        <w:tc>
          <w:tcPr>
            <w:tcW w:type="dxa" w:w="224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6"/>
              </w:rPr>
              <w:t>阶段完成标准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1</w:t>
            </w:r>
          </w:p>
        </w:tc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Cowork 会话与消息流</w:t>
            </w:r>
          </w:p>
        </w:tc>
        <w:tc>
          <w:tcPr>
            <w:tcW w:type="dxa" w:w="2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实现会话创建、继续会话、消息发送、流式回复、历史记录加载、失败重试和会话中断恢复。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会话列表、消息气泡、输入框、发送/停止按钮、工具过程折叠、上下文用量提示、错误提示。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接入 cowork service、Redux 状态、消息持久化、OpenClaw 流式事件监听。</w:t>
            </w:r>
          </w:p>
        </w:tc>
        <w:tc>
          <w:tcPr>
            <w:tcW w:type="dxa" w:w="2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能正常新建会话、发送消息、接收流式输出；重启后历史记录可恢复。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2</w:t>
            </w:r>
          </w:p>
        </w:tc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工作空间创建</w:t>
            </w:r>
          </w:p>
        </w:tc>
        <w:tc>
          <w:tcPr>
            <w:tcW w:type="dxa" w:w="2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实现工作空间创建、名称配置、目录选择、初始化状态保存。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工作空间入口、创建表单、空状态页面、创建成功提示。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接入本地数据库、工作空间元数据存储、主进程 IPC。</w:t>
            </w:r>
          </w:p>
        </w:tc>
        <w:tc>
          <w:tcPr>
            <w:tcW w:type="dxa" w:w="2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用户可创建工作空间，并在重启后继续访问。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3</w:t>
            </w:r>
          </w:p>
        </w:tc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资料导入与抽取</w:t>
            </w:r>
          </w:p>
        </w:tc>
        <w:tc>
          <w:tcPr>
            <w:tcW w:type="dxa" w:w="2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实现文件上传、目录选择、资料读取、内容抽取、抽取状态记录和失败重试。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文件选择区、资料列表、抽取进度条、失败状态、重新执行按钮。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接入文件读取服务、资料解析逻辑、状态流转和结果写入。</w:t>
            </w:r>
          </w:p>
        </w:tc>
        <w:tc>
          <w:tcPr>
            <w:tcW w:type="dxa" w:w="2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本地资料可导入、可抽取、可查看结果；失败后可重新执行。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4</w:t>
            </w:r>
          </w:p>
        </w:tc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工作空间 Agent 团队</w:t>
            </w:r>
          </w:p>
        </w:tc>
        <w:tc>
          <w:tcPr>
            <w:tcW w:type="dxa" w:w="2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实现主 Agent 与专项 Agent 的配置、启用、禁用、模型选择、技能绑定和工作目录绑定。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Agent 侧栏、角色卡片、状态标识、模型选择框、技能/MCP 开关。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复用 agentManager、skillManager， 同步 OpenClaw agents 配置。</w:t>
            </w:r>
          </w:p>
        </w:tc>
        <w:tc>
          <w:tcPr>
            <w:tcW w:type="dxa" w:w="2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Agent 配置保存后立即生效，并能进入对应工作空间执行任务。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5</w:t>
            </w:r>
          </w:p>
        </w:tc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知识库与线索搜索</w:t>
            </w:r>
          </w:p>
        </w:tc>
        <w:tc>
          <w:tcPr>
            <w:tcW w:type="dxa" w:w="2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实现资料检索、关键词搜索、来源片段查看、线索引用和上下文添加。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搜索框、筛选项、结果列表、来源片段、引用按钮、无结果提示。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接入资料索引、检索入口、上下文注入和来源追踪。</w:t>
            </w:r>
          </w:p>
        </w:tc>
        <w:tc>
          <w:tcPr>
            <w:tcW w:type="dxa" w:w="2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用户能搜索资料、查看来源，并把线索加入对话上下文。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6</w:t>
            </w:r>
          </w:p>
        </w:tc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工作台任务运行</w:t>
            </w:r>
          </w:p>
        </w:tc>
        <w:tc>
          <w:tcPr>
            <w:tcW w:type="dxa" w:w="2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实现任务创建、任务启动、运行状态展示、日志摘要和任务结果记录。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任务面板、运行状态标签、日志摘要、失败提示、重试入口。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接入任务运行事件、主进程调度、运行记录存储。</w:t>
            </w:r>
          </w:p>
        </w:tc>
        <w:tc>
          <w:tcPr>
            <w:tcW w:type="dxa" w:w="2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任务可启动、可查看状态、可记录结果，失败时有明确提示。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7</w:t>
            </w:r>
          </w:p>
        </w:tc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Artifact 产物预览</w:t>
            </w:r>
          </w:p>
        </w:tc>
        <w:tc>
          <w:tcPr>
            <w:tcW w:type="dxa" w:w="2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实现 HTML、SVG、图片、文档、本地服务等产物解析和预览。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Artifact 卡片、预览面板、下载入口、预览失败提示。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接入 artifactParser、预览服务、文件隔离和错误处理。</w:t>
            </w:r>
          </w:p>
        </w:tc>
        <w:tc>
          <w:tcPr>
            <w:tcW w:type="dxa" w:w="2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任务产物可正常展示；预览失败不影响主会话运行。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8</w:t>
            </w:r>
          </w:p>
        </w:tc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技能管理</w:t>
            </w:r>
          </w:p>
        </w:tc>
        <w:tc>
          <w:tcPr>
            <w:tcW w:type="dxa" w:w="2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实现技能列表、启用/禁用、技能绑定 Agent、技能状态同步。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技能列表、启用开关、技能详情、绑定状态。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接入 skillManager、本地技能存储、OpenClaw 配置同步。</w:t>
            </w:r>
          </w:p>
        </w:tc>
        <w:tc>
          <w:tcPr>
            <w:tcW w:type="dxa" w:w="2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技能配置可保存，并能被指定 Agent 使用。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9</w:t>
            </w:r>
          </w:p>
        </w:tc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MCP 工具接入</w:t>
            </w:r>
          </w:p>
        </w:tc>
        <w:tc>
          <w:tcPr>
            <w:tcW w:type="dxa" w:w="2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实现 MCP 服务配置、连接状态展示、工具启停和调用提示。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MCP 服务列表、配置表单、连接状态、工具调用提示。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接入 MCP runtime、服务配置存储、工具权限提示。</w:t>
            </w:r>
          </w:p>
        </w:tc>
        <w:tc>
          <w:tcPr>
            <w:tcW w:type="dxa" w:w="2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MCP 服务可配置、可启停，工具调用过程可追踪。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10</w:t>
            </w:r>
          </w:p>
        </w:tc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IM 平台联动</w:t>
            </w:r>
          </w:p>
        </w:tc>
        <w:tc>
          <w:tcPr>
            <w:tcW w:type="dxa" w:w="2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实现 IM 平台配置、多实例状态、会话映射和 Agent 绑定。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IM 设置页、平台状态、多实例列表、绑定 Agent 选择。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接入 IM gateway、session mapping、OpenClaw 会话映射。</w:t>
            </w:r>
          </w:p>
        </w:tc>
        <w:tc>
          <w:tcPr>
            <w:tcW w:type="dxa" w:w="2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外部消息可路由到指定 Agent，并能形成对应会话记录。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11</w:t>
            </w:r>
          </w:p>
        </w:tc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定时任务</w:t>
            </w:r>
          </w:p>
        </w:tc>
        <w:tc>
          <w:tcPr>
            <w:tcW w:type="dxa" w:w="2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实现定时任务创建、触发、运行历史、失败状态和绑定 Agent。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定时任务列表、任务表单、运行历史、失败提示。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接入 CronJobService、scheduled_task_meta 和运行记录。</w:t>
            </w:r>
          </w:p>
        </w:tc>
        <w:tc>
          <w:tcPr>
            <w:tcW w:type="dxa" w:w="2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定时任务可创建、可触发、可查看历史，失败可定位原因。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12</w:t>
            </w:r>
          </w:p>
        </w:tc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设置与权限</w:t>
            </w:r>
          </w:p>
        </w:tc>
        <w:tc>
          <w:tcPr>
            <w:tcW w:type="dxa" w:w="2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实现模型配置、提供商配置、工作目录配置、权限弹窗和安全提示。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设置页、模型选择、权限弹窗、工作目录选择、保存提示。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接入配置存储、权限策略、IPC 权限控制。</w:t>
            </w:r>
          </w:p>
        </w:tc>
        <w:tc>
          <w:tcPr>
            <w:tcW w:type="dxa" w:w="2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配置保存后本地状态和运行时行为保持一致。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13</w:t>
            </w:r>
          </w:p>
        </w:tc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OpenClaw 运行时同步</w:t>
            </w:r>
          </w:p>
        </w:tc>
        <w:tc>
          <w:tcPr>
            <w:tcW w:type="dxa" w:w="2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实现 OpenClaw 配置生成、状态检测、启动/停止、修复入口和日志定位。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OpenClaw 状态提示、修复按钮、日志入口、异常提示。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接入 openclawConfigSync、openclawRuntimeAdapter、运行时管理器。</w:t>
            </w:r>
          </w:p>
        </w:tc>
        <w:tc>
          <w:tcPr>
            <w:tcW w:type="dxa" w:w="2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OpenClaw 能稳定启动，配置修改后可同步到运行时。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14</w:t>
            </w:r>
          </w:p>
        </w:tc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数据持久化与恢复</w:t>
            </w:r>
          </w:p>
        </w:tc>
        <w:tc>
          <w:tcPr>
            <w:tcW w:type="dxa" w:w="2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实现会话、消息、工作空间、Agent、任务、产物和配置的持久化。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加载状态、恢复提示、空状态、失败说明。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接入 SQLite store、数据库迁移、状态恢复逻辑。</w:t>
            </w:r>
          </w:p>
        </w:tc>
        <w:tc>
          <w:tcPr>
            <w:tcW w:type="dxa" w:w="2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应用重启后核心数据完整保留，异常恢复路径可用。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15</w:t>
            </w:r>
          </w:p>
        </w:tc>
        <w:tc>
          <w:tcPr>
            <w:tcW w:type="dxa" w:w="15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缺陷修复与测试</w:t>
            </w:r>
          </w:p>
        </w:tc>
        <w:tc>
          <w:tcPr>
            <w:tcW w:type="dxa" w:w="27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修复集成问题，补充单元测试、功能自测和集成记录。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补齐空状态、加载状态、失败状态和用户提示。</w:t>
            </w:r>
          </w:p>
        </w:tc>
        <w:tc>
          <w:tcPr>
            <w:tcW w:type="dxa" w:w="255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运行相关测试，检查主进程、前端、OpenClaw 集成链路。</w:t>
            </w:r>
          </w:p>
        </w:tc>
        <w:tc>
          <w:tcPr>
            <w:tcW w:type="dxa" w:w="22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5"/>
              </w:rPr>
              <w:t>完成阶段测试记录，核心功能无阻塞性缺陷。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3.3.4 15 个工作日安排</w:t>
      </w:r>
    </w:p>
    <w:tbl>
      <w:tblPr>
        <w:tblStyle w:val="TableGrid"/>
        <w:tblW w:type="dxa" w:w="120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6E2"/>
          <w:left w:val="single" w:sz="4" w:space="0" w:color="CBD6E2"/>
          <w:bottom w:val="single" w:sz="4" w:space="0" w:color="CBD6E2"/>
          <w:right w:val="single" w:sz="4" w:space="0" w:color="CBD6E2"/>
          <w:insideH w:val="single" w:sz="4" w:space="0" w:color="CBD6E2"/>
          <w:insideV w:val="single" w:sz="4" w:space="0" w:color="CBD6E2"/>
        </w:tblBorders>
      </w:tblPr>
      <w:tblGrid>
        <w:gridCol w:w="1800"/>
        <w:gridCol w:w="2600"/>
        <w:gridCol w:w="5200"/>
        <w:gridCol w:w="2460"/>
      </w:tblGrid>
      <w:tr>
        <w:trPr>
          <w:tblHeader w:val="true"/>
          <w:cantSplit/>
        </w:trPr>
        <w:tc>
          <w:tcPr>
            <w:tcW w:type="dxa" w:w="18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8"/>
              </w:rPr>
              <w:t>时间</w:t>
            </w:r>
          </w:p>
        </w:tc>
        <w:tc>
          <w:tcPr>
            <w:tcW w:type="dxa" w:w="26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8"/>
              </w:rPr>
              <w:t>重点任务</w:t>
            </w:r>
          </w:p>
        </w:tc>
        <w:tc>
          <w:tcPr>
            <w:tcW w:type="dxa" w:w="52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8"/>
              </w:rPr>
              <w:t>具体内容</w:t>
            </w:r>
          </w:p>
        </w:tc>
        <w:tc>
          <w:tcPr>
            <w:tcW w:type="dxa" w:w="24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/>
                <w:color w:val="1C2B3B"/>
                <w:sz w:val="18"/>
              </w:rPr>
              <w:t>交付结果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第 1-3 个工作日</w:t>
            </w:r>
          </w:p>
        </w:tc>
        <w:tc>
          <w:tcPr>
            <w:tcW w:type="dxa" w:w="2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UI 骨架与基础结构</w:t>
            </w:r>
          </w:p>
        </w:tc>
        <w:tc>
          <w:tcPr>
            <w:tcW w:type="dxa" w:w="5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完成工作空间主页面、会话区、侧栏、设置入口、状态字段、IPC 契约和基础数据结构。</w:t>
            </w:r>
          </w:p>
        </w:tc>
        <w:tc>
          <w:tcPr>
            <w:tcW w:type="dxa" w:w="24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页面入口可访问，核心状态结构确定。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第 4-5 个工作日</w:t>
            </w:r>
          </w:p>
        </w:tc>
        <w:tc>
          <w:tcPr>
            <w:tcW w:type="dxa" w:w="2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Cowork 会话与工作空间创建</w:t>
            </w:r>
          </w:p>
        </w:tc>
        <w:tc>
          <w:tcPr>
            <w:tcW w:type="dxa" w:w="5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完成会话消息流、输入区、工作空间创建、元数据保存和历史加载。</w:t>
            </w:r>
          </w:p>
        </w:tc>
        <w:tc>
          <w:tcPr>
            <w:tcW w:type="dxa" w:w="24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用户可创建工作空间并进行基础对话。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第 6-8 个工作日</w:t>
            </w:r>
          </w:p>
        </w:tc>
        <w:tc>
          <w:tcPr>
            <w:tcW w:type="dxa" w:w="2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资料抽取与 Agent 团队</w:t>
            </w:r>
          </w:p>
        </w:tc>
        <w:tc>
          <w:tcPr>
            <w:tcW w:type="dxa" w:w="5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完成资料导入、抽取进度、资料列表、Agent 配置、技能绑定和工作目录绑定。</w:t>
            </w:r>
          </w:p>
        </w:tc>
        <w:tc>
          <w:tcPr>
            <w:tcW w:type="dxa" w:w="24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工作空间具备资料管理和 Agent 协作基础能力。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第 9-10 个工作日</w:t>
            </w:r>
          </w:p>
        </w:tc>
        <w:tc>
          <w:tcPr>
            <w:tcW w:type="dxa" w:w="2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检索与任务运行</w:t>
            </w:r>
          </w:p>
        </w:tc>
        <w:tc>
          <w:tcPr>
            <w:tcW w:type="dxa" w:w="5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完成知识库搜索、线索引用、任务启动、运行状态和日志摘要。</w:t>
            </w:r>
          </w:p>
        </w:tc>
        <w:tc>
          <w:tcPr>
            <w:tcW w:type="dxa" w:w="24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用户可基于资料发起任务并查看运行过程。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第 11-12 个工作日</w:t>
            </w:r>
          </w:p>
        </w:tc>
        <w:tc>
          <w:tcPr>
            <w:tcW w:type="dxa" w:w="2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Artifact、技能与 MCP</w:t>
            </w:r>
          </w:p>
        </w:tc>
        <w:tc>
          <w:tcPr>
            <w:tcW w:type="dxa" w:w="5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完成产物预览、技能开关、MCP 配置、工具调用提示和失败处理。</w:t>
            </w:r>
          </w:p>
        </w:tc>
        <w:tc>
          <w:tcPr>
            <w:tcW w:type="dxa" w:w="24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任务结果可预览，工具能力可配置。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第 13 个工作日</w:t>
            </w:r>
          </w:p>
        </w:tc>
        <w:tc>
          <w:tcPr>
            <w:tcW w:type="dxa" w:w="2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IM 与定时任务</w:t>
            </w:r>
          </w:p>
        </w:tc>
        <w:tc>
          <w:tcPr>
            <w:tcW w:type="dxa" w:w="5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完成 IM 会话映射、Agent 绑定、定时任务创建、触发和运行历史。</w:t>
            </w:r>
          </w:p>
        </w:tc>
        <w:tc>
          <w:tcPr>
            <w:tcW w:type="dxa" w:w="24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外部消息和定时任务可进入工作空间流程。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第 14-15 个工作日</w:t>
            </w:r>
          </w:p>
        </w:tc>
        <w:tc>
          <w:tcPr>
            <w:tcW w:type="dxa" w:w="26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集成修复与测试</w:t>
            </w:r>
          </w:p>
        </w:tc>
        <w:tc>
          <w:tcPr>
            <w:tcW w:type="dxa" w:w="52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统一处理权限、日志、配置同步、OpenClaw 状态、异常提示、单元测试和集成记录。</w:t>
            </w:r>
          </w:p>
        </w:tc>
        <w:tc>
          <w:tcPr>
            <w:tcW w:type="dxa" w:w="24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PingFang SC"/>
                <w:b w:val="0"/>
                <w:color w:val="1C2B3B"/>
                <w:sz w:val="18"/>
              </w:rPr>
              <w:t>阶段功能完成，可进入测试验收。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PingFang SC"/>
          <w:b/>
          <w:color w:val="2E74B5"/>
          <w:sz w:val="26"/>
        </w:rPr>
        <w:t>阶段收口检查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color w:val="1C2B3B"/>
          <w:sz w:val="21"/>
        </w:rPr>
        <w:t>功能自测：覆盖正常路径、空状态、加载状态、失败提示、权限弹窗和重启恢复。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color w:val="1C2B3B"/>
          <w:sz w:val="21"/>
        </w:rPr>
        <w:t>集成记录：记录 Cowork、工作空间、Agent、Artifact、技能/MCP、IM、定时任务和 OpenClaw 配置同步结果。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PingFang SC"/>
          <w:color w:val="1C2B3B"/>
          <w:sz w:val="21"/>
        </w:rPr>
        <w:t>交付材料：完整项目源代码、单元测试结果、集成问题记录、运行时配置同步说明。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008" w:right="936" w:bottom="1008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PingFang SC"/>
        <w:color w:val="5B6A7C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Calibri" w:hAnsi="Calibri" w:eastAsia="PingFang SC"/>
        <w:color w:val="5B6A7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PingFang SC"/>
        <w:color w:val="5B6A7C"/>
        <w:sz w:val="18"/>
      </w:rPr>
      <w:t>宇智汇和 AI 助手 | 代码开发与集成阶段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PingFang SC"/>
      <w:color w:val="1C2B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 代码开发与集成阶段详细清单</dc:title>
  <dc:subject>宇智汇和 AI 助手项目任务计划书阶段清单</dc:subject>
  <dc:creator>个人开发者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