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search-digest-20260810_171603"/>
    <w:p>
      <w:pPr>
        <w:pStyle w:val="Heading1"/>
      </w:pPr>
      <w:r>
        <w:t xml:space="preserve">Research Digest 20260810_171603</w:t>
      </w:r>
    </w:p>
    <w:bookmarkStart w:id="20" w:name="run-metadata"/>
    <w:p>
      <w:pPr>
        <w:pStyle w:val="Heading2"/>
      </w:pPr>
      <w:r>
        <w:t xml:space="preserve">Run Metadata</w:t>
      </w:r>
    </w:p>
    <w:p>
      <w:pPr>
        <w:numPr>
          <w:ilvl w:val="0"/>
          <w:numId w:val="1001"/>
        </w:numPr>
        <w:pStyle w:val="Compact"/>
      </w:pPr>
      <w:r>
        <w:t xml:space="preserve">max_results: 100</w:t>
      </w:r>
    </w:p>
    <w:p>
      <w:pPr>
        <w:numPr>
          <w:ilvl w:val="0"/>
          <w:numId w:val="1001"/>
        </w:numPr>
        <w:pStyle w:val="Compact"/>
      </w:pPr>
      <w:r>
        <w:t xml:space="preserve">cutoff_date: 2026-04-10T17:16:03.716406</w:t>
      </w:r>
    </w:p>
    <w:p>
      <w:pPr>
        <w:numPr>
          <w:ilvl w:val="0"/>
          <w:numId w:val="1001"/>
        </w:numPr>
        <w:pStyle w:val="Compact"/>
      </w:pPr>
      <w:r>
        <w:t xml:space="preserve">scored_papers: 16</w:t>
      </w:r>
    </w:p>
    <w:p>
      <w:pPr>
        <w:numPr>
          <w:ilvl w:val="0"/>
          <w:numId w:val="1001"/>
        </w:numPr>
        <w:pStyle w:val="Compact"/>
      </w:pPr>
      <w:r>
        <w:t xml:space="preserve">selected_top_n: 100</w:t>
      </w:r>
    </w:p>
    <w:p>
      <w:pPr>
        <w:numPr>
          <w:ilvl w:val="0"/>
          <w:numId w:val="1001"/>
        </w:numPr>
        <w:pStyle w:val="Compact"/>
      </w:pPr>
      <w:r>
        <w:t xml:space="preserve">selected_count: 5</w:t>
      </w:r>
    </w:p>
    <w:bookmarkEnd w:id="20"/>
    <w:bookmarkStart w:id="31" w:name="final-selection"/>
    <w:p>
      <w:pPr>
        <w:pStyle w:val="Heading2"/>
      </w:pPr>
      <w:r>
        <w:t xml:space="preserve">Final Selection</w:t>
      </w:r>
    </w:p>
    <w:bookmarkStart w:id="22" w:name="X4832df3b7fff2dbc2be9adfa8cc9e9c79c59ffd"/>
    <w:p>
      <w:pPr>
        <w:pStyle w:val="Heading3"/>
      </w:pPr>
      <w:r>
        <w:t xml:space="preserve">1.</w:t>
      </w:r>
      <w:r>
        <w:t xml:space="preserve"> </w:t>
      </w:r>
      <w:hyperlink r:id="rId21">
        <w:r>
          <w:rPr>
            <w:rStyle w:val="Hyperlink"/>
          </w:rPr>
          <w:t xml:space="preserve">The Negative Binomial Chain-Ladder: A Full Likelihood Model for Claim Count Reserving</w:t>
        </w:r>
      </w:hyperlink>
    </w:p>
    <w:p>
      <w:pPr>
        <w:numPr>
          <w:ilvl w:val="0"/>
          <w:numId w:val="1002"/>
        </w:numPr>
        <w:pStyle w:val="Compact"/>
      </w:pPr>
      <w:r>
        <w:t xml:space="preserve">score: 9/10</w:t>
      </w:r>
    </w:p>
    <w:p>
      <w:pPr>
        <w:numPr>
          <w:ilvl w:val="0"/>
          <w:numId w:val="1002"/>
        </w:numPr>
        <w:pStyle w:val="Compact"/>
      </w:pPr>
      <w:r>
        <w:t xml:space="preserve">is_relevant: True</w:t>
      </w:r>
    </w:p>
    <w:p>
      <w:pPr>
        <w:numPr>
          <w:ilvl w:val="0"/>
          <w:numId w:val="1002"/>
        </w:numPr>
        <w:pStyle w:val="Compact"/>
      </w:pPr>
      <w:r>
        <w:t xml:space="preserve">published: 2026-05-15T10:06:21+00:00</w:t>
      </w:r>
    </w:p>
    <w:p>
      <w:pPr>
        <w:numPr>
          <w:ilvl w:val="0"/>
          <w:numId w:val="1002"/>
        </w:numPr>
        <w:pStyle w:val="Compact"/>
      </w:pPr>
      <w:r>
        <w:t xml:space="preserve">authors: Robin Van Oirbeek</w:t>
      </w:r>
    </w:p>
    <w:p>
      <w:pPr>
        <w:numPr>
          <w:ilvl w:val="0"/>
          <w:numId w:val="1002"/>
        </w:numPr>
        <w:pStyle w:val="Compact"/>
      </w:pPr>
      <w:r>
        <w:t xml:space="preserve">key_insight: The paper provides a full likelihood-based Negative Binomial Chain-Ladder model that gives structural meaning to dispersion as accident-year heterogeneity, unifying classical reserving methods under a probabilistic framework with improved uncertainty quantification.</w:t>
      </w:r>
    </w:p>
    <w:p>
      <w:pPr>
        <w:pStyle w:val="FirstParagraph"/>
      </w:pPr>
      <w:r>
        <w:t xml:space="preserve">This paper develops a Negative Binomial Chain-Ladder model grounded in a Poisson-Gamma generative process, offering a coherent probabilistic foundation for claim count reserving while preserving familiar CL point estimates and enabling robust uncertainty quantification via parametric bootstrap.</w:t>
      </w:r>
    </w:p>
    <w:bookmarkEnd w:id="22"/>
    <w:bookmarkStart w:id="24" w:name="X8cced9f02f3594e819b0db9a834bdb228fe4ce7"/>
    <w:p>
      <w:pPr>
        <w:pStyle w:val="Heading3"/>
      </w:pPr>
      <w:r>
        <w:t xml:space="preserve">2.</w:t>
      </w:r>
      <w:r>
        <w:t xml:space="preserve"> </w:t>
      </w:r>
      <w:hyperlink r:id="rId23">
        <w:r>
          <w:rPr>
            <w:rStyle w:val="Hyperlink"/>
          </w:rPr>
          <w:t xml:space="preserve">LSTM-Based Detection of Structural Breaks in Property Insurance Loss Reserving: A Climate-Informed Approach</w:t>
        </w:r>
      </w:hyperlink>
    </w:p>
    <w:p>
      <w:pPr>
        <w:numPr>
          <w:ilvl w:val="0"/>
          <w:numId w:val="1003"/>
        </w:numPr>
        <w:pStyle w:val="Compact"/>
      </w:pPr>
      <w:r>
        <w:t xml:space="preserve">score: 9/10</w:t>
      </w:r>
    </w:p>
    <w:p>
      <w:pPr>
        <w:numPr>
          <w:ilvl w:val="0"/>
          <w:numId w:val="1003"/>
        </w:numPr>
        <w:pStyle w:val="Compact"/>
      </w:pPr>
      <w:r>
        <w:t xml:space="preserve">is_relevant: True</w:t>
      </w:r>
    </w:p>
    <w:p>
      <w:pPr>
        <w:numPr>
          <w:ilvl w:val="0"/>
          <w:numId w:val="1003"/>
        </w:numPr>
        <w:pStyle w:val="Compact"/>
      </w:pPr>
      <w:r>
        <w:t xml:space="preserve">published: 2026-06-09T21:35:15+00:00</w:t>
      </w:r>
    </w:p>
    <w:p>
      <w:pPr>
        <w:numPr>
          <w:ilvl w:val="0"/>
          <w:numId w:val="1003"/>
        </w:numPr>
        <w:pStyle w:val="Compact"/>
      </w:pPr>
      <w:r>
        <w:t xml:space="preserve">authors: Thomas Mbrice, Shashwat Panigrahi</w:t>
      </w:r>
    </w:p>
    <w:p>
      <w:pPr>
        <w:numPr>
          <w:ilvl w:val="0"/>
          <w:numId w:val="1003"/>
        </w:numPr>
        <w:pStyle w:val="Compact"/>
      </w:pPr>
      <w:r>
        <w:t xml:space="preserve">key_insight: LSTMs can detect climate-driven structural breaks in loss reserving triangles and adapt reserves more accurately than traditional methods, especially in catastrophe-exposed jurisdictions.</w:t>
      </w:r>
    </w:p>
    <w:p>
      <w:pPr>
        <w:pStyle w:val="FirstParagraph"/>
      </w:pPr>
      <w:r>
        <w:t xml:space="preserve">This paper investigates using LSTM networks to detect structural breaks in property insurance reserving caused by climate change, benchmarking against traditional methods like Chain Ladder and Bornhuetter-Ferguson on real regulatory data enriched with climate variables. It offers both empirical results and a theoretical framework for probabilistic performance guarantees, making it highly relevant to actuarial practice facing non-stationary risk environments.</w:t>
      </w:r>
    </w:p>
    <w:bookmarkEnd w:id="24"/>
    <w:bookmarkStart w:id="26" w:name="X67261e6cf6c235c7e32ae36e2c424b5f071f4a9"/>
    <w:p>
      <w:pPr>
        <w:pStyle w:val="Heading3"/>
      </w:pPr>
      <w:r>
        <w:t xml:space="preserve">3.</w:t>
      </w:r>
      <w:r>
        <w:t xml:space="preserve"> </w:t>
      </w:r>
      <w:hyperlink r:id="rId25">
        <w:r>
          <w:rPr>
            <w:rStyle w:val="Hyperlink"/>
          </w:rPr>
          <w:t xml:space="preserve">A Model-Agnostic Bootstrap for Macro-Level Claims Reserving Under the Conditioning Principle</w:t>
        </w:r>
      </w:hyperlink>
    </w:p>
    <w:p>
      <w:pPr>
        <w:numPr>
          <w:ilvl w:val="0"/>
          <w:numId w:val="1004"/>
        </w:numPr>
        <w:pStyle w:val="Compact"/>
      </w:pPr>
      <w:r>
        <w:t xml:space="preserve">score: 9/10</w:t>
      </w:r>
    </w:p>
    <w:p>
      <w:pPr>
        <w:numPr>
          <w:ilvl w:val="0"/>
          <w:numId w:val="1004"/>
        </w:numPr>
        <w:pStyle w:val="Compact"/>
      </w:pPr>
      <w:r>
        <w:t xml:space="preserve">is_relevant: True</w:t>
      </w:r>
    </w:p>
    <w:p>
      <w:pPr>
        <w:numPr>
          <w:ilvl w:val="0"/>
          <w:numId w:val="1004"/>
        </w:numPr>
        <w:pStyle w:val="Compact"/>
      </w:pPr>
      <w:r>
        <w:t xml:space="preserve">published: 2026-05-15T12:27:42+00:00</w:t>
      </w:r>
    </w:p>
    <w:p>
      <w:pPr>
        <w:numPr>
          <w:ilvl w:val="0"/>
          <w:numId w:val="1004"/>
        </w:numPr>
        <w:pStyle w:val="Compact"/>
      </w:pPr>
      <w:r>
        <w:t xml:space="preserve">authors: Robin Van Oirbeek, Tim Verdonck</w:t>
      </w:r>
    </w:p>
    <w:p>
      <w:pPr>
        <w:numPr>
          <w:ilvl w:val="0"/>
          <w:numId w:val="1004"/>
        </w:numPr>
        <w:pStyle w:val="Compact"/>
      </w:pPr>
      <w:r>
        <w:t xml:space="preserve">key_insight: The paper introduces a model-agnostic bootstrap method for macro-level claims reserving that strictly adheres to the conditioning principle, ensuring calibrated uncertainty estimates by holding the observed triangle fixed and only simulating allocation proportions.</w:t>
      </w:r>
    </w:p>
    <w:p>
      <w:pPr>
        <w:pStyle w:val="FirstParagraph"/>
      </w:pPr>
      <w:r>
        <w:t xml:space="preserve">This paper proposes a novel bootstrap technique for aggregate claims reserving that respects the conditioning principle, yielding calibrated predictive distributions without re-estimating parameters or resampling data. It is directly applicable to Chain-Ladder, Bornhuetter-Ferguson, and Cape Cod methods, offering practical improvements in uncertainty quantification and diagnostic value for actuarial practice.</w:t>
      </w:r>
    </w:p>
    <w:bookmarkEnd w:id="26"/>
    <w:bookmarkStart w:id="28" w:name="X5249197f523141d8f5e4ec9ee3d60aea5fdc5fa"/>
    <w:p>
      <w:pPr>
        <w:pStyle w:val="Heading3"/>
      </w:pPr>
      <w:r>
        <w:t xml:space="preserve">4.</w:t>
      </w:r>
      <w:r>
        <w:t xml:space="preserve"> </w:t>
      </w:r>
      <w:hyperlink r:id="rId27">
        <w:r>
          <w:rPr>
            <w:rStyle w:val="Hyperlink"/>
          </w:rPr>
          <w:t xml:space="preserve">A Note on the Generalized Cape Cod Reserving Method</w:t>
        </w:r>
      </w:hyperlink>
    </w:p>
    <w:p>
      <w:pPr>
        <w:numPr>
          <w:ilvl w:val="0"/>
          <w:numId w:val="1005"/>
        </w:numPr>
        <w:pStyle w:val="Compact"/>
      </w:pPr>
      <w:r>
        <w:t xml:space="preserve">score: 8/10</w:t>
      </w:r>
    </w:p>
    <w:p>
      <w:pPr>
        <w:numPr>
          <w:ilvl w:val="0"/>
          <w:numId w:val="1005"/>
        </w:numPr>
        <w:pStyle w:val="Compact"/>
      </w:pPr>
      <w:r>
        <w:t xml:space="preserve">is_relevant: True</w:t>
      </w:r>
    </w:p>
    <w:p>
      <w:pPr>
        <w:numPr>
          <w:ilvl w:val="0"/>
          <w:numId w:val="1005"/>
        </w:numPr>
        <w:pStyle w:val="Compact"/>
      </w:pPr>
      <w:r>
        <w:t xml:space="preserve">published: 2026-04-30T11:23:31+00:00</w:t>
      </w:r>
    </w:p>
    <w:p>
      <w:pPr>
        <w:numPr>
          <w:ilvl w:val="0"/>
          <w:numId w:val="1005"/>
        </w:numPr>
        <w:pStyle w:val="Compact"/>
      </w:pPr>
      <w:r>
        <w:t xml:space="preserve">authors: Ronald Richman, Mario V. Wüthrich</w:t>
      </w:r>
    </w:p>
    <w:p>
      <w:pPr>
        <w:numPr>
          <w:ilvl w:val="0"/>
          <w:numId w:val="1005"/>
        </w:numPr>
        <w:pStyle w:val="Compact"/>
      </w:pPr>
      <w:r>
        <w:t xml:space="preserve">key_insight: The paper fills a theoretical gap by deriving an analytical formula for the mean squared error of prediction (MSEP) of the generalized Cape Cod reserving method, enabling uncertainty quantification for this deterministic technique.</w:t>
      </w:r>
    </w:p>
    <w:p>
      <w:pPr>
        <w:pStyle w:val="FirstParagraph"/>
      </w:pPr>
      <w:r>
        <w:t xml:space="preserve">This paper extends the generalized Cape Cod reserving method — traditionally deterministic — by providing a stochastic framework with an analytical MSEP formula, making it more useful for actuarial practice that requires reserve uncertainty measures.</w:t>
      </w:r>
    </w:p>
    <w:bookmarkEnd w:id="28"/>
    <w:bookmarkStart w:id="30" w:name="Xd84aeff1b6cb4b3ca05b82241bec8c587d76476"/>
    <w:p>
      <w:pPr>
        <w:pStyle w:val="Heading3"/>
      </w:pPr>
      <w:r>
        <w:t xml:space="preserve">5.</w:t>
      </w:r>
      <w:r>
        <w:t xml:space="preserve"> </w:t>
      </w:r>
      <w:hyperlink r:id="rId29">
        <w:r>
          <w:rPr>
            <w:rStyle w:val="Hyperlink"/>
          </w:rPr>
          <w:t xml:space="preserve">Leveraging LLMs for Unstructured Claims Data Analysis</w:t>
        </w:r>
      </w:hyperlink>
    </w:p>
    <w:p>
      <w:pPr>
        <w:numPr>
          <w:ilvl w:val="0"/>
          <w:numId w:val="1006"/>
        </w:numPr>
        <w:pStyle w:val="Compact"/>
      </w:pPr>
      <w:r>
        <w:t xml:space="preserve">score: 8/10</w:t>
      </w:r>
    </w:p>
    <w:p>
      <w:pPr>
        <w:numPr>
          <w:ilvl w:val="0"/>
          <w:numId w:val="1006"/>
        </w:numPr>
        <w:pStyle w:val="Compact"/>
      </w:pPr>
      <w:r>
        <w:t xml:space="preserve">is_relevant: True</w:t>
      </w:r>
    </w:p>
    <w:p>
      <w:pPr>
        <w:numPr>
          <w:ilvl w:val="0"/>
          <w:numId w:val="1006"/>
        </w:numPr>
        <w:pStyle w:val="Compact"/>
      </w:pPr>
      <w:r>
        <w:t xml:space="preserve">published: 2026-06-04T12:26:20+00:00</w:t>
      </w:r>
    </w:p>
    <w:p>
      <w:pPr>
        <w:numPr>
          <w:ilvl w:val="0"/>
          <w:numId w:val="1006"/>
        </w:numPr>
        <w:pStyle w:val="Compact"/>
      </w:pPr>
      <w:r>
        <w:t xml:space="preserve">authors: Robert D. Lieberthal, Richard Tran, Vietbao Phan, Jawand Singh, Elizabeth Sottung</w:t>
      </w:r>
    </w:p>
    <w:p>
      <w:pPr>
        <w:numPr>
          <w:ilvl w:val="0"/>
          <w:numId w:val="1006"/>
        </w:numPr>
        <w:pStyle w:val="Compact"/>
      </w:pPr>
      <w:r>
        <w:t xml:space="preserve">key_insight: LLMs can extract structured actuarial variables from unstructured claims text, improving reserve accuracy when integrated with traditional methods like chain ladder.</w:t>
      </w:r>
    </w:p>
    <w:p>
      <w:pPr>
        <w:pStyle w:val="FirstParagraph"/>
      </w:pPr>
      <w:r>
        <w:t xml:space="preserve">This paper demonstrates how large language models can extract actuarial variables from unstructured claims data (e.g., medical notes, adjuster reports), which are then used to improve reserving accuracy by segmenting severity in chain ladder models. The framework is modular, validated by experts, and includes open-source code with audit trails.</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arxiv.org/abs/2604.27732v1" TargetMode="External" /><Relationship Type="http://schemas.openxmlformats.org/officeDocument/2006/relationships/hyperlink" Id="rId21" Target="http://arxiv.org/abs/2605.15811v3" TargetMode="External" /><Relationship Type="http://schemas.openxmlformats.org/officeDocument/2006/relationships/hyperlink" Id="rId25" Target="http://arxiv.org/abs/2605.15896v2" TargetMode="External" /><Relationship Type="http://schemas.openxmlformats.org/officeDocument/2006/relationships/hyperlink" Id="rId29" Target="http://arxiv.org/abs/2606.06089v1" TargetMode="External" /><Relationship Type="http://schemas.openxmlformats.org/officeDocument/2006/relationships/hyperlink" Id="rId23" Target="http://arxiv.org/abs/2606.11463v1" TargetMode="External" /></Relationships>
</file>

<file path=word/_rels/footnotes.xml.rels><?xml version="1.0" encoding="UTF-8"?><Relationships xmlns="http://schemas.openxmlformats.org/package/2006/relationships"><Relationship Type="http://schemas.openxmlformats.org/officeDocument/2006/relationships/hyperlink" Id="rId27" Target="http://arxiv.org/abs/2604.27732v1" TargetMode="External" /><Relationship Type="http://schemas.openxmlformats.org/officeDocument/2006/relationships/hyperlink" Id="rId21" Target="http://arxiv.org/abs/2605.15811v3" TargetMode="External" /><Relationship Type="http://schemas.openxmlformats.org/officeDocument/2006/relationships/hyperlink" Id="rId25" Target="http://arxiv.org/abs/2605.15896v2" TargetMode="External" /><Relationship Type="http://schemas.openxmlformats.org/officeDocument/2006/relationships/hyperlink" Id="rId29" Target="http://arxiv.org/abs/2606.06089v1" TargetMode="External" /><Relationship Type="http://schemas.openxmlformats.org/officeDocument/2006/relationships/hyperlink" Id="rId23" Target="http://arxiv.org/abs/2606.11463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2026-08-10T16:47:35Z</dcterms:created>
  <dcterms:modified xsi:type="dcterms:W3CDTF">2026-08-10T16:47:35Z</dcterms:modified>
</cp:coreProperties>
</file>

<file path=docProps/custom.xml><?xml version="1.0" encoding="utf-8"?>
<Properties xmlns="http://schemas.openxmlformats.org/officeDocument/2006/custom-properties" xmlns:vt="http://schemas.openxmlformats.org/officeDocument/2006/docPropsVTypes"/>
</file>