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research-digest-20260411_105504"/>
    <w:p>
      <w:pPr>
        <w:pStyle w:val="Heading1"/>
      </w:pPr>
      <w:r>
        <w:t xml:space="preserve">Research Digest 20260411_105504</w:t>
      </w:r>
    </w:p>
    <w:bookmarkStart w:id="20" w:name="run-metadata"/>
    <w:p>
      <w:pPr>
        <w:pStyle w:val="Heading2"/>
      </w:pPr>
      <w:r>
        <w:t xml:space="preserve">Run Metadata</w:t>
      </w:r>
    </w:p>
    <w:p>
      <w:pPr>
        <w:numPr>
          <w:ilvl w:val="0"/>
          <w:numId w:val="1001"/>
        </w:numPr>
        <w:pStyle w:val="Compact"/>
      </w:pPr>
      <w:r>
        <w:t xml:space="preserve">max_results: 500</w:t>
      </w:r>
    </w:p>
    <w:p>
      <w:pPr>
        <w:numPr>
          <w:ilvl w:val="0"/>
          <w:numId w:val="1001"/>
        </w:numPr>
        <w:pStyle w:val="Compact"/>
      </w:pPr>
      <w:r>
        <w:t xml:space="preserve">cutoff_date: 2016-04-11T10:55:04.577263</w:t>
      </w:r>
    </w:p>
    <w:p>
      <w:pPr>
        <w:numPr>
          <w:ilvl w:val="0"/>
          <w:numId w:val="1001"/>
        </w:numPr>
        <w:pStyle w:val="Compact"/>
      </w:pPr>
      <w:r>
        <w:t xml:space="preserve">scored_papers: 4</w:t>
      </w:r>
    </w:p>
    <w:p>
      <w:pPr>
        <w:numPr>
          <w:ilvl w:val="0"/>
          <w:numId w:val="1001"/>
        </w:numPr>
        <w:pStyle w:val="Compact"/>
      </w:pPr>
      <w:r>
        <w:t xml:space="preserve">selected_top_n: 100</w:t>
      </w:r>
    </w:p>
    <w:p>
      <w:pPr>
        <w:numPr>
          <w:ilvl w:val="0"/>
          <w:numId w:val="1001"/>
        </w:numPr>
        <w:pStyle w:val="Compact"/>
      </w:pPr>
      <w:r>
        <w:t xml:space="preserve">selected_count: 2</w:t>
      </w:r>
    </w:p>
    <w:bookmarkEnd w:id="20"/>
    <w:bookmarkStart w:id="25" w:name="final-selection"/>
    <w:p>
      <w:pPr>
        <w:pStyle w:val="Heading2"/>
      </w:pPr>
      <w:r>
        <w:t xml:space="preserve">Final Selection</w:t>
      </w:r>
    </w:p>
    <w:bookmarkStart w:id="22" w:name="Xab35632ac6c52ce1f392feb9e9c1005fbaf2ba6"/>
    <w:p>
      <w:pPr>
        <w:pStyle w:val="Heading3"/>
      </w:pPr>
      <w:r>
        <w:t xml:space="preserve">1.</w:t>
      </w:r>
      <w:r>
        <w:t xml:space="preserve"> </w:t>
      </w:r>
      <w:hyperlink r:id="rId21">
        <w:r>
          <w:rPr>
            <w:rStyle w:val="Hyperlink"/>
          </w:rPr>
          <w:t xml:space="preserve">Individual Claims Forecasting with Bayesian Mixture Density Networks</w:t>
        </w:r>
      </w:hyperlink>
    </w:p>
    <w:p>
      <w:pPr>
        <w:numPr>
          <w:ilvl w:val="0"/>
          <w:numId w:val="1002"/>
        </w:numPr>
        <w:pStyle w:val="Compact"/>
      </w:pPr>
      <w:r>
        <w:t xml:space="preserve">score: 9/10</w:t>
      </w:r>
    </w:p>
    <w:p>
      <w:pPr>
        <w:numPr>
          <w:ilvl w:val="0"/>
          <w:numId w:val="1002"/>
        </w:numPr>
        <w:pStyle w:val="Compact"/>
      </w:pPr>
      <w:r>
        <w:t xml:space="preserve">is_relevant: True</w:t>
      </w:r>
    </w:p>
    <w:p>
      <w:pPr>
        <w:numPr>
          <w:ilvl w:val="0"/>
          <w:numId w:val="1002"/>
        </w:numPr>
        <w:pStyle w:val="Compact"/>
      </w:pPr>
      <w:r>
        <w:t xml:space="preserve">published: 2020-03-05T06:35:51+00:00</w:t>
      </w:r>
    </w:p>
    <w:p>
      <w:pPr>
        <w:numPr>
          <w:ilvl w:val="0"/>
          <w:numId w:val="1002"/>
        </w:numPr>
        <w:pStyle w:val="Compact"/>
      </w:pPr>
      <w:r>
        <w:t xml:space="preserve">authors: Kevin Kuo</w:t>
      </w:r>
    </w:p>
    <w:p>
      <w:pPr>
        <w:numPr>
          <w:ilvl w:val="0"/>
          <w:numId w:val="1002"/>
        </w:numPr>
        <w:pStyle w:val="Compact"/>
      </w:pPr>
      <w:r>
        <w:t xml:space="preserve">key_insight: Bayesian mixture density networks offer a probabilistic, flexible approach to individual claim reserving that integrates diverse data sources and quantifies uncertainty—directly addressing core needs of actuarial reserving practice.</w:t>
      </w:r>
    </w:p>
    <w:p>
      <w:pPr>
        <w:pStyle w:val="FirstParagraph"/>
      </w:pPr>
      <w:r>
        <w:t xml:space="preserve">This paper presents a Bayesian mixture density network framework for individual claim forecasting, enabling multi-period cash flow predictions and scenario generation using both structured and unstructured data, with evaluation on public datasets.</w:t>
      </w:r>
    </w:p>
    <w:bookmarkEnd w:id="22"/>
    <w:bookmarkStart w:id="24" w:name="X2a7bd5dd133e08a793cf5bf63f3fdf7ffc95f25"/>
    <w:p>
      <w:pPr>
        <w:pStyle w:val="Heading3"/>
      </w:pPr>
      <w:r>
        <w:t xml:space="preserve">2.</w:t>
      </w:r>
      <w:r>
        <w:t xml:space="preserve"> </w:t>
      </w:r>
      <w:hyperlink r:id="rId23">
        <w:r>
          <w:rPr>
            <w:rStyle w:val="Hyperlink"/>
          </w:rPr>
          <w:t xml:space="preserve">Zero-Inflated Tweedie Boosted Trees with CatBoost for Insurance Loss Analytics</w:t>
        </w:r>
      </w:hyperlink>
    </w:p>
    <w:p>
      <w:pPr>
        <w:numPr>
          <w:ilvl w:val="0"/>
          <w:numId w:val="1003"/>
        </w:numPr>
        <w:pStyle w:val="Compact"/>
      </w:pPr>
      <w:r>
        <w:t xml:space="preserve">score: 7/10</w:t>
      </w:r>
    </w:p>
    <w:p>
      <w:pPr>
        <w:numPr>
          <w:ilvl w:val="0"/>
          <w:numId w:val="1003"/>
        </w:numPr>
        <w:pStyle w:val="Compact"/>
      </w:pPr>
      <w:r>
        <w:t xml:space="preserve">is_relevant: True</w:t>
      </w:r>
    </w:p>
    <w:p>
      <w:pPr>
        <w:numPr>
          <w:ilvl w:val="0"/>
          <w:numId w:val="1003"/>
        </w:numPr>
        <w:pStyle w:val="Compact"/>
      </w:pPr>
      <w:r>
        <w:t xml:space="preserve">published: 2024-06-23T20:03:55+00:00</w:t>
      </w:r>
    </w:p>
    <w:p>
      <w:pPr>
        <w:numPr>
          <w:ilvl w:val="0"/>
          <w:numId w:val="1003"/>
        </w:numPr>
        <w:pStyle w:val="Compact"/>
      </w:pPr>
      <w:r>
        <w:t xml:space="preserve">authors: Banghee So, Emiliano A. Valdez</w:t>
      </w:r>
    </w:p>
    <w:p>
      <w:pPr>
        <w:numPr>
          <w:ilvl w:val="0"/>
          <w:numId w:val="1003"/>
        </w:numPr>
        <w:pStyle w:val="Compact"/>
      </w:pPr>
      <w:r>
        <w:t xml:space="preserve">key_insight: Separately modeling zero claims within a boosted tree framework significantly improves loss prediction accuracy for insurance datasets with excess zeros.</w:t>
      </w:r>
    </w:p>
    <w:p>
      <w:pPr>
        <w:pStyle w:val="FirstParagraph"/>
      </w:pPr>
      <w:r>
        <w:t xml:space="preserve">The paper proposes a zero-inflated Tweedie model combined with CatBoost to better handle the high frequency of zero claims in insurance loss data, demonstrating improved predictive accuracy on telematics data.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://arxiv.org/abs/2003.02453v1" TargetMode="External" /><Relationship Type="http://schemas.openxmlformats.org/officeDocument/2006/relationships/hyperlink" Id="rId23" Target="http://arxiv.org/abs/2406.16206v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arxiv.org/abs/2003.02453v1" TargetMode="External" /><Relationship Type="http://schemas.openxmlformats.org/officeDocument/2006/relationships/hyperlink" Id="rId23" Target="http://arxiv.org/abs/2406.16206v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2026-04-11T10:04:31Z</dcterms:created>
  <dcterms:modified xsi:type="dcterms:W3CDTF">2026-04-11T10:04:31Z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