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3F946" w14:textId="77777777" w:rsidR="00DC191D" w:rsidRDefault="00DC191D"/>
    <w:p w14:paraId="45262CE2" w14:textId="77777777" w:rsidR="003D0E3B" w:rsidRDefault="003D0E3B">
      <w:pPr>
        <w:rPr>
          <w:rFonts w:ascii="Inter" w:hAnsi="Inter"/>
          <w:b/>
          <w:bCs/>
          <w:color w:val="383F4D"/>
          <w:shd w:val="clear" w:color="auto" w:fill="FFFFFF"/>
        </w:rPr>
      </w:pPr>
      <w:r>
        <w:rPr>
          <w:rFonts w:ascii="Inter" w:hAnsi="Inter"/>
          <w:b/>
          <w:bCs/>
          <w:color w:val="383F4D"/>
          <w:shd w:val="clear" w:color="auto" w:fill="FFFFFF"/>
        </w:rPr>
        <w:t>Module 1</w:t>
      </w:r>
    </w:p>
    <w:p w14:paraId="7698FF07" w14:textId="361114E1" w:rsidR="000E4867" w:rsidRPr="00333337" w:rsidRDefault="000A3153" w:rsidP="00333337">
      <w:pPr>
        <w:rPr>
          <w:rFonts w:ascii="Inter" w:hAnsi="Inter"/>
          <w:b/>
          <w:bCs/>
          <w:color w:val="383F4D"/>
          <w:shd w:val="clear" w:color="auto" w:fill="FFFFFF"/>
        </w:rPr>
      </w:pPr>
      <w:r>
        <w:rPr>
          <w:rFonts w:ascii="Inter" w:hAnsi="Inter"/>
          <w:b/>
          <w:bCs/>
          <w:color w:val="383F4D"/>
          <w:shd w:val="clear" w:color="auto" w:fill="FFFFFF"/>
        </w:rPr>
        <w:t>The case for Reproductive Health at Work</w:t>
      </w:r>
    </w:p>
    <w:p w14:paraId="5BCBB666" w14:textId="77777777" w:rsidR="00AD69A9" w:rsidRDefault="00AD69A9" w:rsidP="00AD69A9">
      <w:pPr>
        <w:pStyle w:val="Heading3"/>
      </w:pPr>
      <w:r>
        <w:rPr>
          <w:rStyle w:val="Strong"/>
          <w:b/>
          <w:bCs/>
        </w:rPr>
        <w:t>Lesson 3: Compliance, Legal, and Ethical Considerations (45 minutes)</w:t>
      </w:r>
    </w:p>
    <w:p w14:paraId="31214730" w14:textId="77777777" w:rsidR="00AD69A9" w:rsidRDefault="00AD69A9" w:rsidP="00AD69A9">
      <w:pPr>
        <w:pStyle w:val="Heading4"/>
      </w:pPr>
      <w:r>
        <w:rPr>
          <w:rStyle w:val="Strong"/>
          <w:b w:val="0"/>
          <w:bCs w:val="0"/>
        </w:rPr>
        <w:t>Legal Landscape Overview (15 minutes)</w:t>
      </w:r>
    </w:p>
    <w:p w14:paraId="64B4D7FF" w14:textId="77777777" w:rsidR="00AD69A9" w:rsidRDefault="00AD69A9" w:rsidP="00AD69A9">
      <w:pPr>
        <w:pStyle w:val="NormalWeb"/>
        <w:numPr>
          <w:ilvl w:val="0"/>
          <w:numId w:val="18"/>
        </w:numPr>
      </w:pPr>
      <w:r>
        <w:rPr>
          <w:rStyle w:val="Strong"/>
        </w:rPr>
        <w:t>Discuss key regulations in the UK and Europe:</w:t>
      </w:r>
    </w:p>
    <w:p w14:paraId="08CF507E" w14:textId="77777777" w:rsidR="00AD69A9" w:rsidRDefault="00AD69A9" w:rsidP="00AD69A9">
      <w:pPr>
        <w:pStyle w:val="NormalWeb"/>
        <w:numPr>
          <w:ilvl w:val="1"/>
          <w:numId w:val="18"/>
        </w:numPr>
      </w:pPr>
      <w:r>
        <w:rPr>
          <w:rStyle w:val="Strong"/>
        </w:rPr>
        <w:t>UK:</w:t>
      </w:r>
    </w:p>
    <w:p w14:paraId="144FB91C" w14:textId="77777777" w:rsidR="00AD69A9" w:rsidRPr="00DE1ECB" w:rsidRDefault="00AD69A9" w:rsidP="00AD69A9">
      <w:pPr>
        <w:numPr>
          <w:ilvl w:val="2"/>
          <w:numId w:val="18"/>
        </w:numPr>
        <w:spacing w:before="100" w:beforeAutospacing="1" w:after="100" w:afterAutospacing="1" w:line="240" w:lineRule="auto"/>
        <w:rPr>
          <w:color w:val="FF0000"/>
        </w:rPr>
      </w:pPr>
      <w:r w:rsidRPr="00DE1ECB">
        <w:rPr>
          <w:color w:val="FF0000"/>
        </w:rPr>
        <w:t xml:space="preserve">The </w:t>
      </w:r>
      <w:r w:rsidRPr="00DE1ECB">
        <w:rPr>
          <w:rStyle w:val="Strong"/>
          <w:color w:val="FF0000"/>
        </w:rPr>
        <w:t>Equality Act 2010</w:t>
      </w:r>
      <w:r w:rsidRPr="00DE1ECB">
        <w:rPr>
          <w:color w:val="FF0000"/>
        </w:rPr>
        <w:t xml:space="preserve"> (protection against pregnancy and maternity discrimination, sex discrimination).</w:t>
      </w:r>
    </w:p>
    <w:p w14:paraId="7E328885" w14:textId="77777777" w:rsidR="00DE1ECB" w:rsidRDefault="00DE1ECB" w:rsidP="00DE1ECB">
      <w:pPr>
        <w:pStyle w:val="NormalWeb"/>
      </w:pPr>
      <w:r>
        <w:rPr>
          <w:rStyle w:val="Strong"/>
        </w:rPr>
        <w:t>Pregnancy and Maternity Discrimination:</w:t>
      </w:r>
    </w:p>
    <w:p w14:paraId="73AC4296" w14:textId="77777777" w:rsidR="00DE1ECB" w:rsidRDefault="00DE1ECB" w:rsidP="00DE1ECB">
      <w:pPr>
        <w:pStyle w:val="NormalWeb"/>
        <w:numPr>
          <w:ilvl w:val="0"/>
          <w:numId w:val="21"/>
        </w:numPr>
      </w:pPr>
      <w:r>
        <w:rPr>
          <w:rStyle w:val="Strong"/>
        </w:rPr>
        <w:t>Mitie Ltd:</w:t>
      </w:r>
      <w:r>
        <w:t xml:space="preserve"> In a landmark case, Ms. N Hinds was awarded £350,000 after experiencing pregnancy discrimination. Her employer excluded her from meetings, unjustly criticized her performance, and failed to support her requests for reasonable adjustments during her pregnancy. The tribunal found that Mitie Ltd's actions led to constructive dismissal and discrimination. </w:t>
      </w:r>
    </w:p>
    <w:p w14:paraId="32836077" w14:textId="77777777" w:rsidR="00DE1ECB" w:rsidRDefault="00DE1ECB" w:rsidP="00DE1ECB">
      <w:pPr>
        <w:spacing w:beforeAutospacing="1" w:afterAutospacing="1"/>
        <w:ind w:left="720"/>
      </w:pPr>
      <w:hyperlink r:id="rId7" w:tgtFrame="_blank" w:history="1">
        <w:r>
          <w:rPr>
            <w:rStyle w:val="truncate"/>
            <w:color w:val="0000FF"/>
            <w:u w:val="single"/>
          </w:rPr>
          <w:t>wirehouse-es.com</w:t>
        </w:r>
      </w:hyperlink>
    </w:p>
    <w:p w14:paraId="75188553" w14:textId="77777777" w:rsidR="00DE1ECB" w:rsidRDefault="00DE1ECB" w:rsidP="00DE1ECB">
      <w:pPr>
        <w:pStyle w:val="NormalWeb"/>
        <w:numPr>
          <w:ilvl w:val="0"/>
          <w:numId w:val="21"/>
        </w:numPr>
      </w:pPr>
      <w:r>
        <w:rPr>
          <w:rStyle w:val="Strong"/>
        </w:rPr>
        <w:t>Event Medical Group:</w:t>
      </w:r>
      <w:r>
        <w:t xml:space="preserve"> Lesley Coia won over £6,000 in compensation after her male boss persistently inquired about her pregnancy status, constituting sex-based discrimination. The tribunal rejected the employer's defense and highlighted the inappropriate nature of the questioning. </w:t>
      </w:r>
    </w:p>
    <w:p w14:paraId="48BFC806" w14:textId="77777777" w:rsidR="00DE1ECB" w:rsidRDefault="00DE1ECB" w:rsidP="00DE1ECB">
      <w:pPr>
        <w:spacing w:beforeAutospacing="1" w:afterAutospacing="1"/>
        <w:ind w:left="720"/>
      </w:pPr>
      <w:hyperlink r:id="rId8" w:tgtFrame="_blank" w:history="1">
        <w:r>
          <w:rPr>
            <w:rStyle w:val="truncate"/>
            <w:color w:val="0000FF"/>
            <w:u w:val="single"/>
          </w:rPr>
          <w:t>thescottishsun.co.uk</w:t>
        </w:r>
      </w:hyperlink>
    </w:p>
    <w:p w14:paraId="514EB2A9" w14:textId="77777777" w:rsidR="00AF14C1" w:rsidRDefault="00AF14C1" w:rsidP="00AF14C1">
      <w:pPr>
        <w:spacing w:before="100" w:beforeAutospacing="1" w:after="100" w:afterAutospacing="1" w:line="240" w:lineRule="auto"/>
      </w:pPr>
    </w:p>
    <w:p w14:paraId="647F3587" w14:textId="77777777" w:rsidR="00AF14C1" w:rsidRPr="00DE1ECB" w:rsidRDefault="00AF14C1" w:rsidP="00AF14C1">
      <w:pPr>
        <w:spacing w:before="100" w:beforeAutospacing="1" w:after="100" w:afterAutospacing="1" w:line="240" w:lineRule="auto"/>
        <w:rPr>
          <w:color w:val="FF0000"/>
        </w:rPr>
      </w:pPr>
    </w:p>
    <w:p w14:paraId="0B31BA75" w14:textId="6405396E" w:rsidR="00AF14C1" w:rsidRPr="00CE3ED6" w:rsidRDefault="00AD69A9" w:rsidP="00AF14C1">
      <w:pPr>
        <w:numPr>
          <w:ilvl w:val="2"/>
          <w:numId w:val="18"/>
        </w:numPr>
        <w:spacing w:before="100" w:beforeAutospacing="1" w:after="100" w:afterAutospacing="1" w:line="240" w:lineRule="auto"/>
        <w:rPr>
          <w:color w:val="FF0000"/>
        </w:rPr>
      </w:pPr>
      <w:r w:rsidRPr="00DE1ECB">
        <w:rPr>
          <w:color w:val="FF0000"/>
        </w:rPr>
        <w:t xml:space="preserve">The </w:t>
      </w:r>
      <w:r w:rsidRPr="00DE1ECB">
        <w:rPr>
          <w:rStyle w:val="Strong"/>
          <w:color w:val="FF0000"/>
        </w:rPr>
        <w:t>Employment Rights Act 1996</w:t>
      </w:r>
      <w:r w:rsidRPr="00DE1ECB">
        <w:rPr>
          <w:color w:val="FF0000"/>
        </w:rPr>
        <w:t xml:space="preserve"> (statutory rights for maternity leave, paternity leave, shared parental leave)</w:t>
      </w:r>
    </w:p>
    <w:p w14:paraId="727457D7" w14:textId="77777777" w:rsidR="00AF14C1" w:rsidRDefault="00AF14C1" w:rsidP="00AF14C1">
      <w:pPr>
        <w:spacing w:before="100" w:beforeAutospacing="1" w:after="100" w:afterAutospacing="1" w:line="240" w:lineRule="auto"/>
      </w:pPr>
    </w:p>
    <w:p w14:paraId="47012926" w14:textId="77777777" w:rsidR="00AD69A9" w:rsidRPr="00CE3ED6" w:rsidRDefault="00AD69A9" w:rsidP="00AD69A9">
      <w:pPr>
        <w:numPr>
          <w:ilvl w:val="2"/>
          <w:numId w:val="18"/>
        </w:numPr>
        <w:spacing w:before="100" w:beforeAutospacing="1" w:after="100" w:afterAutospacing="1" w:line="240" w:lineRule="auto"/>
        <w:rPr>
          <w:color w:val="FF0000"/>
        </w:rPr>
      </w:pPr>
      <w:r w:rsidRPr="00CE3ED6">
        <w:rPr>
          <w:color w:val="FF0000"/>
        </w:rPr>
        <w:t xml:space="preserve">The </w:t>
      </w:r>
      <w:r w:rsidRPr="00CE3ED6">
        <w:rPr>
          <w:rStyle w:val="Strong"/>
          <w:color w:val="FF0000"/>
        </w:rPr>
        <w:t>Health and Safety at Work Act 1974</w:t>
      </w:r>
      <w:r w:rsidRPr="00CE3ED6">
        <w:rPr>
          <w:color w:val="FF0000"/>
        </w:rPr>
        <w:t xml:space="preserve"> (employer responsibilities regarding workplace adjustments for reproductive health conditions).</w:t>
      </w:r>
    </w:p>
    <w:p w14:paraId="5AB157B9" w14:textId="77777777" w:rsidR="00AF14C1" w:rsidRDefault="00AF14C1" w:rsidP="00AF14C1">
      <w:pPr>
        <w:spacing w:before="100" w:beforeAutospacing="1" w:after="100" w:afterAutospacing="1" w:line="240" w:lineRule="auto"/>
      </w:pPr>
    </w:p>
    <w:p w14:paraId="0A5B50EE" w14:textId="77777777" w:rsidR="00AF14C1" w:rsidRDefault="00AF14C1" w:rsidP="00AF14C1">
      <w:pPr>
        <w:spacing w:before="100" w:beforeAutospacing="1" w:after="100" w:afterAutospacing="1" w:line="240" w:lineRule="auto"/>
      </w:pPr>
    </w:p>
    <w:p w14:paraId="67AE06B3" w14:textId="77777777" w:rsidR="00AF14C1" w:rsidRDefault="00AF14C1" w:rsidP="00AF14C1">
      <w:pPr>
        <w:spacing w:before="100" w:beforeAutospacing="1" w:after="100" w:afterAutospacing="1" w:line="240" w:lineRule="auto"/>
      </w:pPr>
    </w:p>
    <w:p w14:paraId="3AA8ABDF" w14:textId="77777777" w:rsidR="00AF14C1" w:rsidRDefault="00AF14C1" w:rsidP="00AF14C1">
      <w:pPr>
        <w:spacing w:before="100" w:beforeAutospacing="1" w:after="100" w:afterAutospacing="1" w:line="240" w:lineRule="auto"/>
      </w:pPr>
    </w:p>
    <w:p w14:paraId="12947B96" w14:textId="77777777" w:rsidR="00AD69A9" w:rsidRDefault="00AD69A9" w:rsidP="00AD69A9">
      <w:pPr>
        <w:numPr>
          <w:ilvl w:val="2"/>
          <w:numId w:val="18"/>
        </w:numPr>
        <w:pBdr>
          <w:bottom w:val="single" w:sz="12" w:space="1" w:color="auto"/>
        </w:pBdr>
        <w:spacing w:before="100" w:beforeAutospacing="1" w:after="100" w:afterAutospacing="1" w:line="240" w:lineRule="auto"/>
        <w:rPr>
          <w:color w:val="FF0000"/>
        </w:rPr>
      </w:pPr>
      <w:r w:rsidRPr="00B340A0">
        <w:rPr>
          <w:color w:val="FF0000"/>
        </w:rPr>
        <w:lastRenderedPageBreak/>
        <w:t xml:space="preserve">The </w:t>
      </w:r>
      <w:r w:rsidRPr="00B340A0">
        <w:rPr>
          <w:rStyle w:val="Strong"/>
          <w:color w:val="FF0000"/>
        </w:rPr>
        <w:t>Flexible Working Regulations 2014</w:t>
      </w:r>
      <w:r w:rsidRPr="00B340A0">
        <w:rPr>
          <w:color w:val="FF0000"/>
        </w:rPr>
        <w:t xml:space="preserve"> (right to request flexible working arrangements for health-related needs).</w:t>
      </w:r>
    </w:p>
    <w:p w14:paraId="2C617C6E" w14:textId="4E642D5A" w:rsidR="008324EB" w:rsidRPr="00B340A0" w:rsidRDefault="00913563" w:rsidP="008324EB">
      <w:pPr>
        <w:spacing w:before="100" w:beforeAutospacing="1" w:after="100" w:afterAutospacing="1" w:line="240" w:lineRule="auto"/>
        <w:rPr>
          <w:color w:val="FF0000"/>
        </w:rPr>
      </w:pPr>
      <w:r>
        <w:rPr>
          <w:color w:val="FF0000"/>
        </w:rPr>
        <w:t>04/03/2025</w:t>
      </w:r>
    </w:p>
    <w:p w14:paraId="17C0C210" w14:textId="77777777" w:rsidR="008324EB" w:rsidRDefault="008324EB" w:rsidP="008324EB">
      <w:pPr>
        <w:pStyle w:val="NormalWeb"/>
      </w:pPr>
      <w:r>
        <w:t>Several UK companies have faced significant reputational and financial repercussions due to non-compliance with reproductive health-related workplace laws:</w:t>
      </w:r>
    </w:p>
    <w:p w14:paraId="58E19576" w14:textId="77777777" w:rsidR="008324EB" w:rsidRDefault="008324EB" w:rsidP="008324EB">
      <w:pPr>
        <w:pStyle w:val="NormalWeb"/>
      </w:pPr>
      <w:r>
        <w:rPr>
          <w:rStyle w:val="Strong"/>
        </w:rPr>
        <w:t>2. Failure to Accommodate Reproductive Health Conditions:</w:t>
      </w:r>
    </w:p>
    <w:p w14:paraId="612FABCD" w14:textId="77777777" w:rsidR="008324EB" w:rsidRDefault="008324EB" w:rsidP="008324EB">
      <w:pPr>
        <w:pStyle w:val="NormalWeb"/>
        <w:numPr>
          <w:ilvl w:val="0"/>
          <w:numId w:val="22"/>
        </w:numPr>
      </w:pPr>
      <w:r>
        <w:rPr>
          <w:rStyle w:val="Strong"/>
        </w:rPr>
        <w:t>Properties on the Market:</w:t>
      </w:r>
      <w:r>
        <w:t xml:space="preserve"> An employee suffering from endometriosis, which left her bedridden, was unfairly dismissed after her employer unilaterally withdrew a previously agreed-upon work-from-home arrangement. The employment tribunal awarded her £31,707.34, emphasizing the necessity for employers to accommodate health conditions like endometriosis. </w:t>
      </w:r>
    </w:p>
    <w:p w14:paraId="7CDED2CD" w14:textId="77777777" w:rsidR="008324EB" w:rsidRDefault="008324EB" w:rsidP="008324EB">
      <w:pPr>
        <w:spacing w:beforeAutospacing="1" w:afterAutospacing="1"/>
        <w:ind w:left="720"/>
      </w:pPr>
      <w:hyperlink r:id="rId9" w:tgtFrame="_blank" w:history="1">
        <w:r>
          <w:rPr>
            <w:rStyle w:val="truncate"/>
            <w:color w:val="0000FF"/>
            <w:u w:val="single"/>
          </w:rPr>
          <w:t>thehrdirector.com</w:t>
        </w:r>
      </w:hyperlink>
    </w:p>
    <w:p w14:paraId="0B4A01EE" w14:textId="77777777" w:rsidR="008324EB" w:rsidRDefault="008324EB" w:rsidP="008324EB">
      <w:pPr>
        <w:pStyle w:val="NormalWeb"/>
        <w:numPr>
          <w:ilvl w:val="0"/>
          <w:numId w:val="22"/>
        </w:numPr>
      </w:pPr>
      <w:r>
        <w:rPr>
          <w:rStyle w:val="Strong"/>
        </w:rPr>
        <w:t>Undisclosed Financial Institution:</w:t>
      </w:r>
      <w:r>
        <w:t xml:space="preserve"> A banker with endometriosis won a reasonable adjustments claim after her employer failed to accommodate her condition, leading to her redundancy during sick leave. The tribunal's decision underscored the importance of providing necessary adjustments for employees with health conditions. </w:t>
      </w:r>
    </w:p>
    <w:p w14:paraId="0B47F6FB" w14:textId="505C5C4E" w:rsidR="00FF3113" w:rsidRDefault="008324EB" w:rsidP="00103BDC">
      <w:pPr>
        <w:spacing w:beforeAutospacing="1" w:afterAutospacing="1"/>
        <w:ind w:left="720"/>
      </w:pPr>
      <w:hyperlink r:id="rId10" w:tgtFrame="_blank" w:history="1">
        <w:r>
          <w:rPr>
            <w:rStyle w:val="truncate"/>
            <w:color w:val="0000FF"/>
            <w:u w:val="single"/>
          </w:rPr>
          <w:t>personneltoday.com</w:t>
        </w:r>
      </w:hyperlink>
    </w:p>
    <w:p w14:paraId="7923A9CE" w14:textId="77777777" w:rsidR="00FF3113" w:rsidRDefault="00FF3113" w:rsidP="00FF3113">
      <w:pPr>
        <w:spacing w:before="100" w:beforeAutospacing="1" w:after="100" w:afterAutospacing="1" w:line="240" w:lineRule="auto"/>
      </w:pPr>
    </w:p>
    <w:p w14:paraId="6555E8BB" w14:textId="77777777" w:rsidR="00AD69A9" w:rsidRDefault="00AD69A9" w:rsidP="00AD69A9">
      <w:pPr>
        <w:pStyle w:val="NormalWeb"/>
        <w:numPr>
          <w:ilvl w:val="1"/>
          <w:numId w:val="18"/>
        </w:numPr>
      </w:pPr>
      <w:r>
        <w:rPr>
          <w:rStyle w:val="Strong"/>
        </w:rPr>
        <w:t>EU:</w:t>
      </w:r>
    </w:p>
    <w:p w14:paraId="2BCE3377" w14:textId="70487AEC" w:rsidR="00AD69A9" w:rsidRDefault="00AD69A9" w:rsidP="00AD69A9">
      <w:pPr>
        <w:numPr>
          <w:ilvl w:val="2"/>
          <w:numId w:val="18"/>
        </w:numPr>
        <w:spacing w:before="100" w:beforeAutospacing="1" w:after="100" w:afterAutospacing="1" w:line="240" w:lineRule="auto"/>
      </w:pPr>
      <w:r>
        <w:t xml:space="preserve">The </w:t>
      </w:r>
      <w:r>
        <w:rPr>
          <w:rStyle w:val="Strong"/>
        </w:rPr>
        <w:t>EU Work-Life Balance Directive</w:t>
      </w:r>
      <w:r>
        <w:t xml:space="preserve"> (minimum rights for parental leave, </w:t>
      </w:r>
      <w:r w:rsidR="00640767">
        <w:t>tll me abu</w:t>
      </w:r>
      <w:r>
        <w:t>, and carers’ leave).</w:t>
      </w:r>
    </w:p>
    <w:p w14:paraId="2099146E" w14:textId="77777777" w:rsidR="00AD69A9" w:rsidRDefault="00AD69A9" w:rsidP="00AD69A9">
      <w:pPr>
        <w:numPr>
          <w:ilvl w:val="2"/>
          <w:numId w:val="18"/>
        </w:numPr>
        <w:spacing w:before="100" w:beforeAutospacing="1" w:after="100" w:afterAutospacing="1" w:line="240" w:lineRule="auto"/>
      </w:pPr>
      <w:r>
        <w:t xml:space="preserve">The </w:t>
      </w:r>
      <w:r>
        <w:rPr>
          <w:rStyle w:val="Strong"/>
        </w:rPr>
        <w:t>Pregnant Workers Directive (92/85/EEC)</w:t>
      </w:r>
      <w:r>
        <w:t xml:space="preserve"> (maternity leave and workplace protections for pregnant employees).</w:t>
      </w:r>
    </w:p>
    <w:p w14:paraId="2BB17C48" w14:textId="77777777" w:rsidR="00AD69A9" w:rsidRDefault="00AD69A9" w:rsidP="00AD69A9">
      <w:pPr>
        <w:numPr>
          <w:ilvl w:val="2"/>
          <w:numId w:val="18"/>
        </w:numPr>
        <w:spacing w:before="100" w:beforeAutospacing="1" w:after="100" w:afterAutospacing="1" w:line="240" w:lineRule="auto"/>
      </w:pPr>
      <w:r>
        <w:t xml:space="preserve">The </w:t>
      </w:r>
      <w:r>
        <w:rPr>
          <w:rStyle w:val="Strong"/>
        </w:rPr>
        <w:t>Equal Treatment Directive (2006/54/EC)</w:t>
      </w:r>
      <w:r>
        <w:t xml:space="preserve"> (prohibition of discrimination based on sex, including pregnancy and maternity).</w:t>
      </w:r>
    </w:p>
    <w:p w14:paraId="52F99219" w14:textId="77777777" w:rsidR="00AD69A9" w:rsidRDefault="00AD69A9" w:rsidP="00AD69A9">
      <w:pPr>
        <w:numPr>
          <w:ilvl w:val="2"/>
          <w:numId w:val="18"/>
        </w:numPr>
        <w:spacing w:before="100" w:beforeAutospacing="1" w:after="100" w:afterAutospacing="1" w:line="240" w:lineRule="auto"/>
      </w:pPr>
      <w:r>
        <w:t xml:space="preserve">National laws in member states implementing these directives (e.g., Germany’s </w:t>
      </w:r>
      <w:r>
        <w:rPr>
          <w:rStyle w:val="Strong"/>
        </w:rPr>
        <w:t>Mutterschutzgesetz</w:t>
      </w:r>
      <w:r>
        <w:t xml:space="preserve">, France’s </w:t>
      </w:r>
      <w:r>
        <w:rPr>
          <w:rStyle w:val="Strong"/>
        </w:rPr>
        <w:t>Code du Travail</w:t>
      </w:r>
      <w:r>
        <w:t xml:space="preserve"> maternity and parental leave provisions).</w:t>
      </w:r>
    </w:p>
    <w:p w14:paraId="0635F5DD" w14:textId="77777777" w:rsidR="00FF3113" w:rsidRDefault="00FF3113" w:rsidP="00FF3113">
      <w:pPr>
        <w:spacing w:before="100" w:beforeAutospacing="1" w:after="100" w:afterAutospacing="1" w:line="240" w:lineRule="auto"/>
      </w:pPr>
    </w:p>
    <w:p w14:paraId="4B66AEE9" w14:textId="77777777" w:rsidR="00AD69A9" w:rsidRDefault="00AD69A9" w:rsidP="00AD69A9">
      <w:pPr>
        <w:pStyle w:val="NormalWeb"/>
        <w:numPr>
          <w:ilvl w:val="0"/>
          <w:numId w:val="18"/>
        </w:numPr>
      </w:pPr>
      <w:r>
        <w:rPr>
          <w:rStyle w:val="Strong"/>
        </w:rPr>
        <w:t>Recent Legal Cases and Repercussions:</w:t>
      </w:r>
    </w:p>
    <w:p w14:paraId="3D50F4B7" w14:textId="77777777" w:rsidR="00AD69A9" w:rsidRDefault="00AD69A9" w:rsidP="00AD69A9">
      <w:pPr>
        <w:numPr>
          <w:ilvl w:val="1"/>
          <w:numId w:val="18"/>
        </w:numPr>
        <w:spacing w:before="100" w:beforeAutospacing="1" w:after="100" w:afterAutospacing="1" w:line="240" w:lineRule="auto"/>
      </w:pPr>
      <w:r>
        <w:t>Discuss examples where companies have faced reputational and financial damage due to non-compliance with reproductive health-related workplace laws.</w:t>
      </w:r>
    </w:p>
    <w:p w14:paraId="74888598" w14:textId="77777777" w:rsidR="00AF14C1" w:rsidRDefault="00AF14C1" w:rsidP="00AF14C1">
      <w:pPr>
        <w:numPr>
          <w:ilvl w:val="1"/>
          <w:numId w:val="18"/>
        </w:numPr>
        <w:spacing w:before="100" w:beforeAutospacing="1" w:after="100" w:afterAutospacing="1" w:line="240" w:lineRule="auto"/>
      </w:pPr>
      <w:r>
        <w:t>Highlight how failing to accommodate employees with conditions like endometriosis or fertility treatment needs has led to tribunal cases and financial penalties.</w:t>
      </w:r>
    </w:p>
    <w:p w14:paraId="3F568065" w14:textId="77777777" w:rsidR="00AF14C1" w:rsidRDefault="00AF14C1" w:rsidP="00AD69A9">
      <w:pPr>
        <w:numPr>
          <w:ilvl w:val="1"/>
          <w:numId w:val="18"/>
        </w:numPr>
        <w:spacing w:before="100" w:beforeAutospacing="1" w:after="100" w:afterAutospacing="1" w:line="240" w:lineRule="auto"/>
      </w:pPr>
    </w:p>
    <w:p w14:paraId="112A9A8C" w14:textId="77777777" w:rsidR="00FF3113" w:rsidRDefault="00FF3113" w:rsidP="00FF3113">
      <w:pPr>
        <w:pStyle w:val="NormalWeb"/>
      </w:pPr>
      <w:r>
        <w:t>Several UK companies have faced significant reputational and financial repercussions due to non-compliance with reproductive health-related workplace laws:</w:t>
      </w:r>
    </w:p>
    <w:p w14:paraId="6DDB1DD3" w14:textId="77777777" w:rsidR="00FF3113" w:rsidRDefault="00FF3113" w:rsidP="00FF3113">
      <w:pPr>
        <w:pStyle w:val="NormalWeb"/>
      </w:pPr>
      <w:r>
        <w:rPr>
          <w:rStyle w:val="Strong"/>
        </w:rPr>
        <w:lastRenderedPageBreak/>
        <w:t>2. Failure to Accommodate Reproductive Health Conditions:</w:t>
      </w:r>
    </w:p>
    <w:p w14:paraId="0A141F2B" w14:textId="77777777" w:rsidR="00FF3113" w:rsidRDefault="00FF3113" w:rsidP="00FF3113">
      <w:pPr>
        <w:pStyle w:val="NormalWeb"/>
        <w:numPr>
          <w:ilvl w:val="0"/>
          <w:numId w:val="22"/>
        </w:numPr>
      </w:pPr>
      <w:r>
        <w:rPr>
          <w:rStyle w:val="Strong"/>
        </w:rPr>
        <w:t>Properties on the Market:</w:t>
      </w:r>
      <w:r>
        <w:t xml:space="preserve"> An employee suffering from endometriosis, which left her bedridden, was unfairly dismissed after her employer unilaterally withdrew a previously agreed-upon work-from-home arrangement. The employment tribunal awarded her £31,707.34, emphasizing the necessity for employers to accommodate health conditions like endometriosis. </w:t>
      </w:r>
    </w:p>
    <w:p w14:paraId="40FC5D4F" w14:textId="77777777" w:rsidR="00FF3113" w:rsidRDefault="00FF3113" w:rsidP="00FF3113">
      <w:pPr>
        <w:spacing w:beforeAutospacing="1" w:afterAutospacing="1"/>
        <w:ind w:left="720"/>
      </w:pPr>
      <w:hyperlink r:id="rId11" w:tgtFrame="_blank" w:history="1">
        <w:r>
          <w:rPr>
            <w:rStyle w:val="truncate"/>
            <w:color w:val="0000FF"/>
            <w:u w:val="single"/>
          </w:rPr>
          <w:t>thehrdirector.com</w:t>
        </w:r>
      </w:hyperlink>
    </w:p>
    <w:p w14:paraId="2C946B61" w14:textId="77777777" w:rsidR="00FF3113" w:rsidRDefault="00FF3113" w:rsidP="00FF3113">
      <w:pPr>
        <w:pStyle w:val="NormalWeb"/>
        <w:numPr>
          <w:ilvl w:val="0"/>
          <w:numId w:val="22"/>
        </w:numPr>
      </w:pPr>
      <w:r>
        <w:rPr>
          <w:rStyle w:val="Strong"/>
        </w:rPr>
        <w:t>Undisclosed Financial Institution:</w:t>
      </w:r>
      <w:r>
        <w:t xml:space="preserve"> A banker with endometriosis won a reasonable adjustments claim after her employer failed to accommodate her condition, leading to her redundancy during sick leave. The tribunal's decision underscored the importance of providing necessary adjustments for employees with health conditions. </w:t>
      </w:r>
    </w:p>
    <w:p w14:paraId="54E82D3F" w14:textId="77777777" w:rsidR="00FF3113" w:rsidRDefault="00FF3113" w:rsidP="00FF3113">
      <w:pPr>
        <w:spacing w:beforeAutospacing="1" w:afterAutospacing="1"/>
        <w:ind w:left="720"/>
      </w:pPr>
      <w:hyperlink r:id="rId12" w:tgtFrame="_blank" w:history="1">
        <w:r>
          <w:rPr>
            <w:rStyle w:val="truncate"/>
            <w:color w:val="0000FF"/>
            <w:u w:val="single"/>
          </w:rPr>
          <w:t>personneltoday.com</w:t>
        </w:r>
      </w:hyperlink>
    </w:p>
    <w:p w14:paraId="6A1CAEE3" w14:textId="77777777" w:rsidR="00FF3113" w:rsidRDefault="00FF3113" w:rsidP="00FF3113">
      <w:pPr>
        <w:pStyle w:val="NormalWeb"/>
      </w:pPr>
      <w:r>
        <w:rPr>
          <w:rStyle w:val="Strong"/>
        </w:rPr>
        <w:t>3. Discrimination Related to Fertility Treatments:</w:t>
      </w:r>
    </w:p>
    <w:p w14:paraId="696E34F8" w14:textId="77777777" w:rsidR="00FF3113" w:rsidRDefault="00FF3113" w:rsidP="00FF3113">
      <w:pPr>
        <w:numPr>
          <w:ilvl w:val="0"/>
          <w:numId w:val="23"/>
        </w:numPr>
        <w:spacing w:before="100" w:beforeAutospacing="1" w:after="100" w:afterAutospacing="1" w:line="240" w:lineRule="auto"/>
      </w:pPr>
      <w:r>
        <w:rPr>
          <w:rStyle w:val="Strong"/>
        </w:rPr>
        <w:t>Care Needs Ltd:</w:t>
      </w:r>
      <w:r>
        <w:t xml:space="preserve"> Mrs. Benton was dismissed after undergoing IVF treatment and suffering a miscarriage. She claimed that her dismissal was due to her IVF treatment rather than a genuine redundancy situation. The employment tribunal found that she had been harassed and victimized by her employer because of her IVF treatment, leading to a successful claim against the company. </w:t>
      </w:r>
    </w:p>
    <w:p w14:paraId="43F30D9F" w14:textId="77777777" w:rsidR="00FF3113" w:rsidRDefault="00FF3113" w:rsidP="00FF3113">
      <w:pPr>
        <w:spacing w:before="100" w:beforeAutospacing="1" w:after="100" w:afterAutospacing="1"/>
        <w:ind w:left="720"/>
      </w:pPr>
      <w:hyperlink r:id="rId13" w:tgtFrame="_blank" w:history="1">
        <w:r>
          <w:rPr>
            <w:rStyle w:val="truncate"/>
            <w:color w:val="0000FF"/>
            <w:u w:val="single"/>
          </w:rPr>
          <w:t>redmans.co.uk</w:t>
        </w:r>
      </w:hyperlink>
    </w:p>
    <w:p w14:paraId="5E5E6C72" w14:textId="77777777" w:rsidR="00FF3113" w:rsidRDefault="00FF3113" w:rsidP="00FF3113">
      <w:pPr>
        <w:pStyle w:val="NormalWeb"/>
      </w:pPr>
      <w:r>
        <w:t>These cases highlight the critical importance for employers to comply with reproductive health-related workplace laws. Failure to do so can result in substantial financial penalties and damage to a company's reputation.</w:t>
      </w:r>
    </w:p>
    <w:p w14:paraId="7512D87D" w14:textId="0DC47936" w:rsidR="00FF3113" w:rsidRDefault="00FF3113" w:rsidP="00103BDC">
      <w:r>
        <w:t>Recent Developments in Reproductive Health Workplace Rights</w:t>
      </w:r>
    </w:p>
    <w:p w14:paraId="66ACEAA6" w14:textId="77777777" w:rsidR="00AD69A9" w:rsidRDefault="00AD69A9" w:rsidP="00AD69A9">
      <w:pPr>
        <w:pStyle w:val="NormalWeb"/>
        <w:numPr>
          <w:ilvl w:val="0"/>
          <w:numId w:val="18"/>
        </w:numPr>
      </w:pPr>
      <w:r>
        <w:rPr>
          <w:rStyle w:val="Strong"/>
        </w:rPr>
        <w:t>Statistic Highlight:</w:t>
      </w:r>
    </w:p>
    <w:p w14:paraId="12B2E069" w14:textId="77777777" w:rsidR="00AD69A9" w:rsidRDefault="00AD69A9" w:rsidP="00AD69A9">
      <w:pPr>
        <w:numPr>
          <w:ilvl w:val="1"/>
          <w:numId w:val="18"/>
        </w:numPr>
        <w:spacing w:before="100" w:beforeAutospacing="1" w:after="100" w:afterAutospacing="1" w:line="240" w:lineRule="auto"/>
      </w:pPr>
      <w:r>
        <w:t xml:space="preserve">Organizations that fail to implement comprehensive reproductive health policies may face up to a </w:t>
      </w:r>
      <w:r>
        <w:rPr>
          <w:rStyle w:val="Strong"/>
        </w:rPr>
        <w:t>10% increase in turnover-related costs</w:t>
      </w:r>
      <w:r>
        <w:t xml:space="preserve"> due to legal disputes, absenteeism, and reputational harm.</w:t>
      </w:r>
    </w:p>
    <w:p w14:paraId="7357EA84" w14:textId="77777777" w:rsidR="00AD69A9" w:rsidRDefault="00AD69A9" w:rsidP="00AD69A9">
      <w:pPr>
        <w:pStyle w:val="Heading4"/>
      </w:pPr>
      <w:r>
        <w:rPr>
          <w:rStyle w:val="Strong"/>
          <w:b w:val="0"/>
          <w:bCs w:val="0"/>
        </w:rPr>
        <w:t>Ethical Considerations (10 minutes)</w:t>
      </w:r>
    </w:p>
    <w:p w14:paraId="0ECCCA02" w14:textId="77777777" w:rsidR="00AD69A9" w:rsidRDefault="00AD69A9" w:rsidP="00AD69A9">
      <w:pPr>
        <w:numPr>
          <w:ilvl w:val="0"/>
          <w:numId w:val="19"/>
        </w:numPr>
        <w:spacing w:before="100" w:beforeAutospacing="1" w:after="100" w:afterAutospacing="1" w:line="240" w:lineRule="auto"/>
      </w:pPr>
      <w:r>
        <w:t xml:space="preserve">The need for </w:t>
      </w:r>
      <w:r>
        <w:rPr>
          <w:rStyle w:val="Strong"/>
        </w:rPr>
        <w:t>fairness, privacy, and equal access</w:t>
      </w:r>
      <w:r>
        <w:t xml:space="preserve"> to reproductive health benefits.</w:t>
      </w:r>
    </w:p>
    <w:p w14:paraId="616E7289" w14:textId="77777777" w:rsidR="00AD69A9" w:rsidRDefault="00AD69A9" w:rsidP="00AD69A9">
      <w:pPr>
        <w:numPr>
          <w:ilvl w:val="0"/>
          <w:numId w:val="19"/>
        </w:numPr>
        <w:spacing w:before="100" w:beforeAutospacing="1" w:after="100" w:afterAutospacing="1" w:line="240" w:lineRule="auto"/>
      </w:pPr>
      <w:r>
        <w:t xml:space="preserve">How an ethical approach strengthens </w:t>
      </w:r>
      <w:r>
        <w:rPr>
          <w:rStyle w:val="Strong"/>
        </w:rPr>
        <w:t>company culture and employee retention</w:t>
      </w:r>
      <w:r>
        <w:t xml:space="preserve"> while reducing risk.</w:t>
      </w:r>
    </w:p>
    <w:p w14:paraId="652CDA5E" w14:textId="77777777" w:rsidR="00AD69A9" w:rsidRDefault="00AD69A9" w:rsidP="00AD69A9">
      <w:pPr>
        <w:numPr>
          <w:ilvl w:val="0"/>
          <w:numId w:val="19"/>
        </w:numPr>
        <w:spacing w:before="100" w:beforeAutospacing="1" w:after="100" w:afterAutospacing="1" w:line="240" w:lineRule="auto"/>
      </w:pPr>
      <w:r>
        <w:t xml:space="preserve">The </w:t>
      </w:r>
      <w:r>
        <w:rPr>
          <w:rStyle w:val="Strong"/>
        </w:rPr>
        <w:t>business case</w:t>
      </w:r>
      <w:r>
        <w:t xml:space="preserve"> for proactive reproductive health policies: improved employee satisfaction, reduced absenteeism, and enhanced employer brand.</w:t>
      </w:r>
    </w:p>
    <w:p w14:paraId="04C237DF" w14:textId="77777777" w:rsidR="00AD69A9" w:rsidRDefault="00AD69A9" w:rsidP="00AD69A9">
      <w:pPr>
        <w:pStyle w:val="Heading4"/>
      </w:pPr>
      <w:r>
        <w:rPr>
          <w:rStyle w:val="Strong"/>
          <w:b w:val="0"/>
          <w:bCs w:val="0"/>
        </w:rPr>
        <w:t>Interactive Case Study (15 minutes)</w:t>
      </w:r>
    </w:p>
    <w:p w14:paraId="29E612D2" w14:textId="77777777" w:rsidR="00AD69A9" w:rsidRDefault="00AD69A9" w:rsidP="00AD69A9">
      <w:pPr>
        <w:numPr>
          <w:ilvl w:val="0"/>
          <w:numId w:val="20"/>
        </w:numPr>
        <w:spacing w:before="100" w:beforeAutospacing="1" w:after="100" w:afterAutospacing="1" w:line="240" w:lineRule="auto"/>
      </w:pPr>
      <w:r>
        <w:rPr>
          <w:rStyle w:val="Strong"/>
        </w:rPr>
        <w:t>Scenario:</w:t>
      </w:r>
      <w:r>
        <w:t xml:space="preserve"> A mid-sized UK company faces an employment tribunal claim after failing to support an employee undergoing fertility treatment.</w:t>
      </w:r>
    </w:p>
    <w:p w14:paraId="7A6CCD97" w14:textId="77777777" w:rsidR="00AD69A9" w:rsidRDefault="00AD69A9" w:rsidP="00AD69A9">
      <w:pPr>
        <w:numPr>
          <w:ilvl w:val="0"/>
          <w:numId w:val="20"/>
        </w:numPr>
        <w:spacing w:before="100" w:beforeAutospacing="1" w:after="100" w:afterAutospacing="1" w:line="240" w:lineRule="auto"/>
      </w:pPr>
      <w:r>
        <w:rPr>
          <w:rStyle w:val="Strong"/>
        </w:rPr>
        <w:lastRenderedPageBreak/>
        <w:t>Small Group Discussion:</w:t>
      </w:r>
    </w:p>
    <w:p w14:paraId="3B1808C0" w14:textId="77777777" w:rsidR="00AD69A9" w:rsidRDefault="00AD69A9" w:rsidP="00AD69A9">
      <w:pPr>
        <w:numPr>
          <w:ilvl w:val="1"/>
          <w:numId w:val="20"/>
        </w:numPr>
        <w:spacing w:before="100" w:beforeAutospacing="1" w:after="100" w:afterAutospacing="1" w:line="240" w:lineRule="auto"/>
      </w:pPr>
      <w:r>
        <w:t>What could have been done differently to mitigate risks?</w:t>
      </w:r>
    </w:p>
    <w:p w14:paraId="241480FF" w14:textId="77777777" w:rsidR="00AD69A9" w:rsidRDefault="00AD69A9" w:rsidP="00AD69A9">
      <w:pPr>
        <w:numPr>
          <w:ilvl w:val="1"/>
          <w:numId w:val="20"/>
        </w:numPr>
        <w:spacing w:before="100" w:beforeAutospacing="1" w:after="100" w:afterAutospacing="1" w:line="240" w:lineRule="auto"/>
      </w:pPr>
      <w:r>
        <w:t>How could proactive policies have prevented legal action?</w:t>
      </w:r>
    </w:p>
    <w:p w14:paraId="41A588E9" w14:textId="77777777" w:rsidR="00AD69A9" w:rsidRDefault="00AD69A9" w:rsidP="00AD69A9">
      <w:pPr>
        <w:numPr>
          <w:ilvl w:val="0"/>
          <w:numId w:val="20"/>
        </w:numPr>
        <w:spacing w:before="100" w:beforeAutospacing="1" w:after="100" w:afterAutospacing="1" w:line="240" w:lineRule="auto"/>
      </w:pPr>
      <w:r>
        <w:rPr>
          <w:rStyle w:val="Strong"/>
        </w:rPr>
        <w:t>Conclusion:</w:t>
      </w:r>
      <w:r>
        <w:t xml:space="preserve"> Brief Q&amp;A on implementing legally sound, ethical reproductive health policies.</w:t>
      </w:r>
    </w:p>
    <w:p w14:paraId="5131B23A" w14:textId="77777777" w:rsidR="000E4867" w:rsidRPr="000E4867" w:rsidRDefault="00000000" w:rsidP="000E48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C9D46B6">
          <v:rect id="_x0000_i1025" style="width:0;height:1.5pt" o:hralign="center" o:hrstd="t" o:hr="t" fillcolor="#a0a0a0" stroked="f"/>
        </w:pict>
      </w:r>
    </w:p>
    <w:p w14:paraId="7A8F4EE8" w14:textId="77777777" w:rsidR="000E4867" w:rsidRPr="000E4867" w:rsidRDefault="000E4867" w:rsidP="000E4867">
      <w:pPr>
        <w:spacing w:before="100" w:beforeAutospacing="1" w:after="100" w:afterAutospacing="1" w:line="240" w:lineRule="auto"/>
        <w:rPr>
          <w:rFonts w:ascii="Times New Roman" w:eastAsia="Times New Roman" w:hAnsi="Times New Roman" w:cs="Times New Roman"/>
          <w:sz w:val="24"/>
          <w:szCs w:val="24"/>
          <w:lang w:eastAsia="en-GB"/>
        </w:rPr>
      </w:pPr>
      <w:r w:rsidRPr="000E4867">
        <w:rPr>
          <w:rFonts w:ascii="Times New Roman" w:eastAsia="Times New Roman" w:hAnsi="Times New Roman" w:cs="Times New Roman"/>
          <w:b/>
          <w:bCs/>
          <w:sz w:val="24"/>
          <w:szCs w:val="24"/>
          <w:lang w:eastAsia="en-GB"/>
        </w:rPr>
        <w:t>Break (10 minutes)</w:t>
      </w:r>
    </w:p>
    <w:p w14:paraId="66D31370" w14:textId="77777777" w:rsidR="000E4867" w:rsidRPr="000E4867" w:rsidRDefault="00000000" w:rsidP="000E48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08AE6A4B">
          <v:rect id="_x0000_i1026" style="width:0;height:1.5pt" o:hralign="center" o:hrstd="t" o:hr="t" fillcolor="#a0a0a0" stroked="f"/>
        </w:pict>
      </w:r>
    </w:p>
    <w:p w14:paraId="2DC0423B" w14:textId="77777777" w:rsidR="00F9645F" w:rsidRDefault="00F9645F" w:rsidP="00762C43"/>
    <w:sectPr w:rsidR="00F9645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6DB6A" w14:textId="77777777" w:rsidR="008A0130" w:rsidRDefault="008A0130" w:rsidP="005D6F81">
      <w:pPr>
        <w:spacing w:after="0" w:line="240" w:lineRule="auto"/>
      </w:pPr>
      <w:r>
        <w:separator/>
      </w:r>
    </w:p>
  </w:endnote>
  <w:endnote w:type="continuationSeparator" w:id="0">
    <w:p w14:paraId="6A7C3673" w14:textId="77777777" w:rsidR="008A0130" w:rsidRDefault="008A0130" w:rsidP="005D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2F9A9" w14:textId="77777777" w:rsidR="008A0130" w:rsidRDefault="008A0130" w:rsidP="005D6F81">
      <w:pPr>
        <w:spacing w:after="0" w:line="240" w:lineRule="auto"/>
      </w:pPr>
      <w:r>
        <w:separator/>
      </w:r>
    </w:p>
  </w:footnote>
  <w:footnote w:type="continuationSeparator" w:id="0">
    <w:p w14:paraId="5070C379" w14:textId="77777777" w:rsidR="008A0130" w:rsidRDefault="008A0130" w:rsidP="005D6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30259" w14:textId="44173CBD" w:rsidR="005D6F81" w:rsidRDefault="005D6F81">
    <w:pPr>
      <w:pStyle w:val="Header"/>
    </w:pPr>
    <w:r>
      <w:t>Course and Certification: Script</w:t>
    </w:r>
  </w:p>
  <w:p w14:paraId="7504F0BE" w14:textId="69D2AD2A" w:rsidR="005D6F81" w:rsidRPr="005143F7" w:rsidRDefault="005D6F81">
    <w:pPr>
      <w:pStyle w:val="Header"/>
      <w:rPr>
        <w:b/>
        <w:bCs/>
        <w:sz w:val="32"/>
        <w:szCs w:val="32"/>
      </w:rPr>
    </w:pPr>
    <w:r w:rsidRPr="005143F7">
      <w:rPr>
        <w:b/>
        <w:bCs/>
        <w:sz w:val="32"/>
        <w:szCs w:val="32"/>
      </w:rPr>
      <w:t xml:space="preserve">Become a Market Leader through Reproductive and Fertility Health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1752"/>
    <w:multiLevelType w:val="hybridMultilevel"/>
    <w:tmpl w:val="A360399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C4B45FF"/>
    <w:multiLevelType w:val="multilevel"/>
    <w:tmpl w:val="052E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13EAB"/>
    <w:multiLevelType w:val="multilevel"/>
    <w:tmpl w:val="D7BA9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77260"/>
    <w:multiLevelType w:val="multilevel"/>
    <w:tmpl w:val="170CA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A566A"/>
    <w:multiLevelType w:val="multilevel"/>
    <w:tmpl w:val="D3F87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613AF"/>
    <w:multiLevelType w:val="multilevel"/>
    <w:tmpl w:val="A43AC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B063A"/>
    <w:multiLevelType w:val="multilevel"/>
    <w:tmpl w:val="1CB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64133"/>
    <w:multiLevelType w:val="multilevel"/>
    <w:tmpl w:val="00B2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40A30"/>
    <w:multiLevelType w:val="multilevel"/>
    <w:tmpl w:val="0ED43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57520"/>
    <w:multiLevelType w:val="multilevel"/>
    <w:tmpl w:val="2B18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C0B25"/>
    <w:multiLevelType w:val="multilevel"/>
    <w:tmpl w:val="9DFA3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97A83"/>
    <w:multiLevelType w:val="multilevel"/>
    <w:tmpl w:val="A888F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85352"/>
    <w:multiLevelType w:val="multilevel"/>
    <w:tmpl w:val="7E388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17478"/>
    <w:multiLevelType w:val="multilevel"/>
    <w:tmpl w:val="FB187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C4456"/>
    <w:multiLevelType w:val="multilevel"/>
    <w:tmpl w:val="935EF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D63E2"/>
    <w:multiLevelType w:val="multilevel"/>
    <w:tmpl w:val="65F8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C066A"/>
    <w:multiLevelType w:val="multilevel"/>
    <w:tmpl w:val="61D8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C4147"/>
    <w:multiLevelType w:val="multilevel"/>
    <w:tmpl w:val="13B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02E9E"/>
    <w:multiLevelType w:val="multilevel"/>
    <w:tmpl w:val="53B8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0454D9"/>
    <w:multiLevelType w:val="multilevel"/>
    <w:tmpl w:val="8CDAE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A0D5D"/>
    <w:multiLevelType w:val="multilevel"/>
    <w:tmpl w:val="CA6E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E4E61"/>
    <w:multiLevelType w:val="multilevel"/>
    <w:tmpl w:val="2E7A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E37D6"/>
    <w:multiLevelType w:val="multilevel"/>
    <w:tmpl w:val="AEF2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391089">
    <w:abstractNumId w:val="2"/>
  </w:num>
  <w:num w:numId="2" w16cid:durableId="2070884276">
    <w:abstractNumId w:val="22"/>
  </w:num>
  <w:num w:numId="3" w16cid:durableId="260334034">
    <w:abstractNumId w:val="13"/>
  </w:num>
  <w:num w:numId="4" w16cid:durableId="1667977297">
    <w:abstractNumId w:val="1"/>
  </w:num>
  <w:num w:numId="5" w16cid:durableId="984704316">
    <w:abstractNumId w:val="10"/>
  </w:num>
  <w:num w:numId="6" w16cid:durableId="328481172">
    <w:abstractNumId w:val="20"/>
  </w:num>
  <w:num w:numId="7" w16cid:durableId="1360546837">
    <w:abstractNumId w:val="11"/>
  </w:num>
  <w:num w:numId="8" w16cid:durableId="1231502026">
    <w:abstractNumId w:val="19"/>
  </w:num>
  <w:num w:numId="9" w16cid:durableId="161511086">
    <w:abstractNumId w:val="18"/>
  </w:num>
  <w:num w:numId="10" w16cid:durableId="1979450615">
    <w:abstractNumId w:val="5"/>
  </w:num>
  <w:num w:numId="11" w16cid:durableId="1521310537">
    <w:abstractNumId w:val="15"/>
  </w:num>
  <w:num w:numId="12" w16cid:durableId="1928878514">
    <w:abstractNumId w:val="4"/>
  </w:num>
  <w:num w:numId="13" w16cid:durableId="758722884">
    <w:abstractNumId w:val="12"/>
  </w:num>
  <w:num w:numId="14" w16cid:durableId="36467774">
    <w:abstractNumId w:val="3"/>
  </w:num>
  <w:num w:numId="15" w16cid:durableId="200871579">
    <w:abstractNumId w:val="7"/>
  </w:num>
  <w:num w:numId="16" w16cid:durableId="2075424570">
    <w:abstractNumId w:val="9"/>
  </w:num>
  <w:num w:numId="17" w16cid:durableId="1325550331">
    <w:abstractNumId w:val="0"/>
  </w:num>
  <w:num w:numId="18" w16cid:durableId="275336374">
    <w:abstractNumId w:val="14"/>
  </w:num>
  <w:num w:numId="19" w16cid:durableId="1449004771">
    <w:abstractNumId w:val="16"/>
  </w:num>
  <w:num w:numId="20" w16cid:durableId="379593558">
    <w:abstractNumId w:val="8"/>
  </w:num>
  <w:num w:numId="21" w16cid:durableId="472866421">
    <w:abstractNumId w:val="21"/>
  </w:num>
  <w:num w:numId="22" w16cid:durableId="554053050">
    <w:abstractNumId w:val="17"/>
  </w:num>
  <w:num w:numId="23" w16cid:durableId="1192573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53"/>
    <w:rsid w:val="000012C4"/>
    <w:rsid w:val="0001381A"/>
    <w:rsid w:val="000A3153"/>
    <w:rsid w:val="000B0284"/>
    <w:rsid w:val="000B23CE"/>
    <w:rsid w:val="000E4867"/>
    <w:rsid w:val="000F2C74"/>
    <w:rsid w:val="00103BDC"/>
    <w:rsid w:val="00163B5D"/>
    <w:rsid w:val="001A40B2"/>
    <w:rsid w:val="001C7C77"/>
    <w:rsid w:val="001E0BF2"/>
    <w:rsid w:val="002538A1"/>
    <w:rsid w:val="00292B9A"/>
    <w:rsid w:val="00293FE8"/>
    <w:rsid w:val="00333337"/>
    <w:rsid w:val="00395E03"/>
    <w:rsid w:val="003C23C5"/>
    <w:rsid w:val="003C41B5"/>
    <w:rsid w:val="003D0E3B"/>
    <w:rsid w:val="00441DD4"/>
    <w:rsid w:val="004A35D0"/>
    <w:rsid w:val="004F5902"/>
    <w:rsid w:val="005143F7"/>
    <w:rsid w:val="00554998"/>
    <w:rsid w:val="0059734F"/>
    <w:rsid w:val="005D6F81"/>
    <w:rsid w:val="005E1984"/>
    <w:rsid w:val="00640767"/>
    <w:rsid w:val="006974C8"/>
    <w:rsid w:val="006A1291"/>
    <w:rsid w:val="006F5F05"/>
    <w:rsid w:val="007119A6"/>
    <w:rsid w:val="00726E79"/>
    <w:rsid w:val="00734739"/>
    <w:rsid w:val="00757AD3"/>
    <w:rsid w:val="007615EA"/>
    <w:rsid w:val="00762C43"/>
    <w:rsid w:val="00764D2F"/>
    <w:rsid w:val="00774192"/>
    <w:rsid w:val="007D514B"/>
    <w:rsid w:val="00810FD2"/>
    <w:rsid w:val="00811FC1"/>
    <w:rsid w:val="008324EB"/>
    <w:rsid w:val="0084472F"/>
    <w:rsid w:val="00860583"/>
    <w:rsid w:val="008A0130"/>
    <w:rsid w:val="008B5A1C"/>
    <w:rsid w:val="008C2CA2"/>
    <w:rsid w:val="00913563"/>
    <w:rsid w:val="00993D83"/>
    <w:rsid w:val="00A03C68"/>
    <w:rsid w:val="00A2184C"/>
    <w:rsid w:val="00A71481"/>
    <w:rsid w:val="00AC6ABE"/>
    <w:rsid w:val="00AD3DD1"/>
    <w:rsid w:val="00AD69A9"/>
    <w:rsid w:val="00AF14C1"/>
    <w:rsid w:val="00B06F71"/>
    <w:rsid w:val="00B340A0"/>
    <w:rsid w:val="00B470B8"/>
    <w:rsid w:val="00BC343B"/>
    <w:rsid w:val="00C27D2A"/>
    <w:rsid w:val="00C766AE"/>
    <w:rsid w:val="00C946B3"/>
    <w:rsid w:val="00CC235B"/>
    <w:rsid w:val="00CE3ED6"/>
    <w:rsid w:val="00D2604B"/>
    <w:rsid w:val="00D6522A"/>
    <w:rsid w:val="00DA7595"/>
    <w:rsid w:val="00DC191D"/>
    <w:rsid w:val="00DE1ECB"/>
    <w:rsid w:val="00E322DE"/>
    <w:rsid w:val="00E34DFD"/>
    <w:rsid w:val="00E8632B"/>
    <w:rsid w:val="00E97F34"/>
    <w:rsid w:val="00EF07D2"/>
    <w:rsid w:val="00F029B2"/>
    <w:rsid w:val="00F7086F"/>
    <w:rsid w:val="00F9645F"/>
    <w:rsid w:val="00FF3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CB2D"/>
  <w15:chartTrackingRefBased/>
  <w15:docId w15:val="{CA59BAFE-2792-4DCB-A327-140CE00F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4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E486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E486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AD69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86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486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E4867"/>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E4867"/>
    <w:rPr>
      <w:b/>
      <w:bCs/>
    </w:rPr>
  </w:style>
  <w:style w:type="paragraph" w:styleId="NormalWeb">
    <w:name w:val="Normal (Web)"/>
    <w:basedOn w:val="Normal"/>
    <w:uiPriority w:val="99"/>
    <w:semiHidden/>
    <w:unhideWhenUsed/>
    <w:rsid w:val="000E48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E4867"/>
    <w:rPr>
      <w:i/>
      <w:iCs/>
    </w:rPr>
  </w:style>
  <w:style w:type="character" w:customStyle="1" w:styleId="overflow-hidden">
    <w:name w:val="overflow-hidden"/>
    <w:basedOn w:val="DefaultParagraphFont"/>
    <w:rsid w:val="000E4867"/>
  </w:style>
  <w:style w:type="character" w:styleId="Hyperlink">
    <w:name w:val="Hyperlink"/>
    <w:basedOn w:val="DefaultParagraphFont"/>
    <w:uiPriority w:val="99"/>
    <w:semiHidden/>
    <w:unhideWhenUsed/>
    <w:rsid w:val="004A35D0"/>
    <w:rPr>
      <w:color w:val="0000FF"/>
      <w:u w:val="single"/>
    </w:rPr>
  </w:style>
  <w:style w:type="paragraph" w:styleId="Header">
    <w:name w:val="header"/>
    <w:basedOn w:val="Normal"/>
    <w:link w:val="HeaderChar"/>
    <w:uiPriority w:val="99"/>
    <w:unhideWhenUsed/>
    <w:rsid w:val="005D6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F81"/>
  </w:style>
  <w:style w:type="paragraph" w:styleId="Footer">
    <w:name w:val="footer"/>
    <w:basedOn w:val="Normal"/>
    <w:link w:val="FooterChar"/>
    <w:uiPriority w:val="99"/>
    <w:unhideWhenUsed/>
    <w:rsid w:val="005D6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F81"/>
  </w:style>
  <w:style w:type="paragraph" w:styleId="ListParagraph">
    <w:name w:val="List Paragraph"/>
    <w:basedOn w:val="Normal"/>
    <w:uiPriority w:val="34"/>
    <w:qFormat/>
    <w:rsid w:val="00B470B8"/>
    <w:pPr>
      <w:ind w:left="720"/>
      <w:contextualSpacing/>
    </w:pPr>
  </w:style>
  <w:style w:type="paragraph" w:customStyle="1" w:styleId="pw-post-body-paragraph">
    <w:name w:val="pw-post-body-paragraph"/>
    <w:basedOn w:val="Normal"/>
    <w:rsid w:val="00F029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AD69A9"/>
    <w:rPr>
      <w:rFonts w:asciiTheme="majorHAnsi" w:eastAsiaTheme="majorEastAsia" w:hAnsiTheme="majorHAnsi" w:cstheme="majorBidi"/>
      <w:i/>
      <w:iCs/>
      <w:color w:val="2F5496" w:themeColor="accent1" w:themeShade="BF"/>
    </w:rPr>
  </w:style>
  <w:style w:type="character" w:customStyle="1" w:styleId="truncate">
    <w:name w:val="truncate"/>
    <w:basedOn w:val="DefaultParagraphFont"/>
    <w:rsid w:val="00FF3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13989">
      <w:bodyDiv w:val="1"/>
      <w:marLeft w:val="0"/>
      <w:marRight w:val="0"/>
      <w:marTop w:val="0"/>
      <w:marBottom w:val="0"/>
      <w:divBdr>
        <w:top w:val="none" w:sz="0" w:space="0" w:color="auto"/>
        <w:left w:val="none" w:sz="0" w:space="0" w:color="auto"/>
        <w:bottom w:val="none" w:sz="0" w:space="0" w:color="auto"/>
        <w:right w:val="none" w:sz="0" w:space="0" w:color="auto"/>
      </w:divBdr>
      <w:divsChild>
        <w:div w:id="658071847">
          <w:marLeft w:val="0"/>
          <w:marRight w:val="0"/>
          <w:marTop w:val="0"/>
          <w:marBottom w:val="0"/>
          <w:divBdr>
            <w:top w:val="none" w:sz="0" w:space="0" w:color="auto"/>
            <w:left w:val="none" w:sz="0" w:space="0" w:color="auto"/>
            <w:bottom w:val="none" w:sz="0" w:space="0" w:color="auto"/>
            <w:right w:val="none" w:sz="0" w:space="0" w:color="auto"/>
          </w:divBdr>
        </w:div>
        <w:div w:id="1123887803">
          <w:marLeft w:val="0"/>
          <w:marRight w:val="0"/>
          <w:marTop w:val="0"/>
          <w:marBottom w:val="0"/>
          <w:divBdr>
            <w:top w:val="none" w:sz="0" w:space="0" w:color="auto"/>
            <w:left w:val="none" w:sz="0" w:space="0" w:color="auto"/>
            <w:bottom w:val="none" w:sz="0" w:space="0" w:color="auto"/>
            <w:right w:val="none" w:sz="0" w:space="0" w:color="auto"/>
          </w:divBdr>
        </w:div>
        <w:div w:id="715351078">
          <w:marLeft w:val="0"/>
          <w:marRight w:val="0"/>
          <w:marTop w:val="0"/>
          <w:marBottom w:val="0"/>
          <w:divBdr>
            <w:top w:val="none" w:sz="0" w:space="0" w:color="auto"/>
            <w:left w:val="none" w:sz="0" w:space="0" w:color="auto"/>
            <w:bottom w:val="none" w:sz="0" w:space="0" w:color="auto"/>
            <w:right w:val="none" w:sz="0" w:space="0" w:color="auto"/>
          </w:divBdr>
        </w:div>
        <w:div w:id="540243337">
          <w:marLeft w:val="0"/>
          <w:marRight w:val="0"/>
          <w:marTop w:val="0"/>
          <w:marBottom w:val="0"/>
          <w:divBdr>
            <w:top w:val="none" w:sz="0" w:space="0" w:color="auto"/>
            <w:left w:val="none" w:sz="0" w:space="0" w:color="auto"/>
            <w:bottom w:val="none" w:sz="0" w:space="0" w:color="auto"/>
            <w:right w:val="none" w:sz="0" w:space="0" w:color="auto"/>
          </w:divBdr>
        </w:div>
        <w:div w:id="1411585661">
          <w:marLeft w:val="0"/>
          <w:marRight w:val="0"/>
          <w:marTop w:val="0"/>
          <w:marBottom w:val="0"/>
          <w:divBdr>
            <w:top w:val="none" w:sz="0" w:space="0" w:color="auto"/>
            <w:left w:val="none" w:sz="0" w:space="0" w:color="auto"/>
            <w:bottom w:val="none" w:sz="0" w:space="0" w:color="auto"/>
            <w:right w:val="none" w:sz="0" w:space="0" w:color="auto"/>
          </w:divBdr>
        </w:div>
        <w:div w:id="1668896958">
          <w:marLeft w:val="0"/>
          <w:marRight w:val="0"/>
          <w:marTop w:val="0"/>
          <w:marBottom w:val="0"/>
          <w:divBdr>
            <w:top w:val="none" w:sz="0" w:space="0" w:color="auto"/>
            <w:left w:val="none" w:sz="0" w:space="0" w:color="auto"/>
            <w:bottom w:val="none" w:sz="0" w:space="0" w:color="auto"/>
            <w:right w:val="none" w:sz="0" w:space="0" w:color="auto"/>
          </w:divBdr>
          <w:divsChild>
            <w:div w:id="1227646409">
              <w:marLeft w:val="0"/>
              <w:marRight w:val="0"/>
              <w:marTop w:val="0"/>
              <w:marBottom w:val="0"/>
              <w:divBdr>
                <w:top w:val="none" w:sz="0" w:space="0" w:color="auto"/>
                <w:left w:val="none" w:sz="0" w:space="0" w:color="auto"/>
                <w:bottom w:val="none" w:sz="0" w:space="0" w:color="auto"/>
                <w:right w:val="none" w:sz="0" w:space="0" w:color="auto"/>
              </w:divBdr>
            </w:div>
            <w:div w:id="1987271031">
              <w:marLeft w:val="0"/>
              <w:marRight w:val="0"/>
              <w:marTop w:val="0"/>
              <w:marBottom w:val="0"/>
              <w:divBdr>
                <w:top w:val="none" w:sz="0" w:space="0" w:color="auto"/>
                <w:left w:val="none" w:sz="0" w:space="0" w:color="auto"/>
                <w:bottom w:val="none" w:sz="0" w:space="0" w:color="auto"/>
                <w:right w:val="none" w:sz="0" w:space="0" w:color="auto"/>
              </w:divBdr>
              <w:divsChild>
                <w:div w:id="280264274">
                  <w:marLeft w:val="0"/>
                  <w:marRight w:val="0"/>
                  <w:marTop w:val="0"/>
                  <w:marBottom w:val="0"/>
                  <w:divBdr>
                    <w:top w:val="none" w:sz="0" w:space="0" w:color="auto"/>
                    <w:left w:val="none" w:sz="0" w:space="0" w:color="auto"/>
                    <w:bottom w:val="none" w:sz="0" w:space="0" w:color="auto"/>
                    <w:right w:val="none" w:sz="0" w:space="0" w:color="auto"/>
                  </w:divBdr>
                </w:div>
                <w:div w:id="1781098286">
                  <w:marLeft w:val="0"/>
                  <w:marRight w:val="0"/>
                  <w:marTop w:val="0"/>
                  <w:marBottom w:val="0"/>
                  <w:divBdr>
                    <w:top w:val="none" w:sz="0" w:space="0" w:color="auto"/>
                    <w:left w:val="none" w:sz="0" w:space="0" w:color="auto"/>
                    <w:bottom w:val="none" w:sz="0" w:space="0" w:color="auto"/>
                    <w:right w:val="none" w:sz="0" w:space="0" w:color="auto"/>
                  </w:divBdr>
                </w:div>
                <w:div w:id="2115319842">
                  <w:marLeft w:val="0"/>
                  <w:marRight w:val="0"/>
                  <w:marTop w:val="0"/>
                  <w:marBottom w:val="0"/>
                  <w:divBdr>
                    <w:top w:val="none" w:sz="0" w:space="0" w:color="auto"/>
                    <w:left w:val="none" w:sz="0" w:space="0" w:color="auto"/>
                    <w:bottom w:val="none" w:sz="0" w:space="0" w:color="auto"/>
                    <w:right w:val="none" w:sz="0" w:space="0" w:color="auto"/>
                  </w:divBdr>
                </w:div>
              </w:divsChild>
            </w:div>
            <w:div w:id="1467966198">
              <w:marLeft w:val="0"/>
              <w:marRight w:val="0"/>
              <w:marTop w:val="0"/>
              <w:marBottom w:val="0"/>
              <w:divBdr>
                <w:top w:val="none" w:sz="0" w:space="0" w:color="auto"/>
                <w:left w:val="none" w:sz="0" w:space="0" w:color="auto"/>
                <w:bottom w:val="none" w:sz="0" w:space="0" w:color="auto"/>
                <w:right w:val="none" w:sz="0" w:space="0" w:color="auto"/>
              </w:divBdr>
            </w:div>
            <w:div w:id="604775229">
              <w:marLeft w:val="0"/>
              <w:marRight w:val="0"/>
              <w:marTop w:val="0"/>
              <w:marBottom w:val="0"/>
              <w:divBdr>
                <w:top w:val="none" w:sz="0" w:space="0" w:color="auto"/>
                <w:left w:val="none" w:sz="0" w:space="0" w:color="auto"/>
                <w:bottom w:val="none" w:sz="0" w:space="0" w:color="auto"/>
                <w:right w:val="none" w:sz="0" w:space="0" w:color="auto"/>
              </w:divBdr>
              <w:divsChild>
                <w:div w:id="1768887891">
                  <w:marLeft w:val="0"/>
                  <w:marRight w:val="0"/>
                  <w:marTop w:val="0"/>
                  <w:marBottom w:val="0"/>
                  <w:divBdr>
                    <w:top w:val="none" w:sz="0" w:space="0" w:color="auto"/>
                    <w:left w:val="none" w:sz="0" w:space="0" w:color="auto"/>
                    <w:bottom w:val="none" w:sz="0" w:space="0" w:color="auto"/>
                    <w:right w:val="none" w:sz="0" w:space="0" w:color="auto"/>
                  </w:divBdr>
                </w:div>
                <w:div w:id="807089499">
                  <w:marLeft w:val="0"/>
                  <w:marRight w:val="0"/>
                  <w:marTop w:val="0"/>
                  <w:marBottom w:val="0"/>
                  <w:divBdr>
                    <w:top w:val="none" w:sz="0" w:space="0" w:color="auto"/>
                    <w:left w:val="none" w:sz="0" w:space="0" w:color="auto"/>
                    <w:bottom w:val="none" w:sz="0" w:space="0" w:color="auto"/>
                    <w:right w:val="none" w:sz="0" w:space="0" w:color="auto"/>
                  </w:divBdr>
                </w:div>
                <w:div w:id="827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4546">
      <w:bodyDiv w:val="1"/>
      <w:marLeft w:val="0"/>
      <w:marRight w:val="0"/>
      <w:marTop w:val="0"/>
      <w:marBottom w:val="0"/>
      <w:divBdr>
        <w:top w:val="none" w:sz="0" w:space="0" w:color="auto"/>
        <w:left w:val="none" w:sz="0" w:space="0" w:color="auto"/>
        <w:bottom w:val="none" w:sz="0" w:space="0" w:color="auto"/>
        <w:right w:val="none" w:sz="0" w:space="0" w:color="auto"/>
      </w:divBdr>
      <w:divsChild>
        <w:div w:id="145636546">
          <w:marLeft w:val="0"/>
          <w:marRight w:val="0"/>
          <w:marTop w:val="0"/>
          <w:marBottom w:val="0"/>
          <w:divBdr>
            <w:top w:val="none" w:sz="0" w:space="0" w:color="auto"/>
            <w:left w:val="none" w:sz="0" w:space="0" w:color="auto"/>
            <w:bottom w:val="none" w:sz="0" w:space="0" w:color="auto"/>
            <w:right w:val="none" w:sz="0" w:space="0" w:color="auto"/>
          </w:divBdr>
          <w:divsChild>
            <w:div w:id="1137378271">
              <w:marLeft w:val="0"/>
              <w:marRight w:val="0"/>
              <w:marTop w:val="0"/>
              <w:marBottom w:val="0"/>
              <w:divBdr>
                <w:top w:val="none" w:sz="0" w:space="0" w:color="auto"/>
                <w:left w:val="none" w:sz="0" w:space="0" w:color="auto"/>
                <w:bottom w:val="none" w:sz="0" w:space="0" w:color="auto"/>
                <w:right w:val="none" w:sz="0" w:space="0" w:color="auto"/>
              </w:divBdr>
              <w:divsChild>
                <w:div w:id="1387023190">
                  <w:marLeft w:val="0"/>
                  <w:marRight w:val="0"/>
                  <w:marTop w:val="0"/>
                  <w:marBottom w:val="0"/>
                  <w:divBdr>
                    <w:top w:val="none" w:sz="0" w:space="0" w:color="auto"/>
                    <w:left w:val="none" w:sz="0" w:space="0" w:color="auto"/>
                    <w:bottom w:val="none" w:sz="0" w:space="0" w:color="auto"/>
                    <w:right w:val="none" w:sz="0" w:space="0" w:color="auto"/>
                  </w:divBdr>
                  <w:divsChild>
                    <w:div w:id="149291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67629">
          <w:marLeft w:val="0"/>
          <w:marRight w:val="0"/>
          <w:marTop w:val="0"/>
          <w:marBottom w:val="0"/>
          <w:divBdr>
            <w:top w:val="none" w:sz="0" w:space="0" w:color="auto"/>
            <w:left w:val="none" w:sz="0" w:space="0" w:color="auto"/>
            <w:bottom w:val="none" w:sz="0" w:space="0" w:color="auto"/>
            <w:right w:val="none" w:sz="0" w:space="0" w:color="auto"/>
          </w:divBdr>
          <w:divsChild>
            <w:div w:id="197819333">
              <w:marLeft w:val="0"/>
              <w:marRight w:val="0"/>
              <w:marTop w:val="0"/>
              <w:marBottom w:val="0"/>
              <w:divBdr>
                <w:top w:val="none" w:sz="0" w:space="0" w:color="auto"/>
                <w:left w:val="none" w:sz="0" w:space="0" w:color="auto"/>
                <w:bottom w:val="none" w:sz="0" w:space="0" w:color="auto"/>
                <w:right w:val="none" w:sz="0" w:space="0" w:color="auto"/>
              </w:divBdr>
              <w:divsChild>
                <w:div w:id="575822888">
                  <w:marLeft w:val="0"/>
                  <w:marRight w:val="0"/>
                  <w:marTop w:val="0"/>
                  <w:marBottom w:val="0"/>
                  <w:divBdr>
                    <w:top w:val="none" w:sz="0" w:space="0" w:color="auto"/>
                    <w:left w:val="none" w:sz="0" w:space="0" w:color="auto"/>
                    <w:bottom w:val="none" w:sz="0" w:space="0" w:color="auto"/>
                    <w:right w:val="none" w:sz="0" w:space="0" w:color="auto"/>
                  </w:divBdr>
                  <w:divsChild>
                    <w:div w:id="17167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08054">
      <w:bodyDiv w:val="1"/>
      <w:marLeft w:val="0"/>
      <w:marRight w:val="0"/>
      <w:marTop w:val="0"/>
      <w:marBottom w:val="0"/>
      <w:divBdr>
        <w:top w:val="none" w:sz="0" w:space="0" w:color="auto"/>
        <w:left w:val="none" w:sz="0" w:space="0" w:color="auto"/>
        <w:bottom w:val="none" w:sz="0" w:space="0" w:color="auto"/>
        <w:right w:val="none" w:sz="0" w:space="0" w:color="auto"/>
      </w:divBdr>
    </w:div>
    <w:div w:id="1373073136">
      <w:bodyDiv w:val="1"/>
      <w:marLeft w:val="0"/>
      <w:marRight w:val="0"/>
      <w:marTop w:val="0"/>
      <w:marBottom w:val="0"/>
      <w:divBdr>
        <w:top w:val="none" w:sz="0" w:space="0" w:color="auto"/>
        <w:left w:val="none" w:sz="0" w:space="0" w:color="auto"/>
        <w:bottom w:val="none" w:sz="0" w:space="0" w:color="auto"/>
        <w:right w:val="none" w:sz="0" w:space="0" w:color="auto"/>
      </w:divBdr>
    </w:div>
    <w:div w:id="1392195573">
      <w:bodyDiv w:val="1"/>
      <w:marLeft w:val="0"/>
      <w:marRight w:val="0"/>
      <w:marTop w:val="0"/>
      <w:marBottom w:val="0"/>
      <w:divBdr>
        <w:top w:val="none" w:sz="0" w:space="0" w:color="auto"/>
        <w:left w:val="none" w:sz="0" w:space="0" w:color="auto"/>
        <w:bottom w:val="none" w:sz="0" w:space="0" w:color="auto"/>
        <w:right w:val="none" w:sz="0" w:space="0" w:color="auto"/>
      </w:divBdr>
      <w:divsChild>
        <w:div w:id="1333753926">
          <w:marLeft w:val="0"/>
          <w:marRight w:val="0"/>
          <w:marTop w:val="0"/>
          <w:marBottom w:val="360"/>
          <w:divBdr>
            <w:top w:val="none" w:sz="0" w:space="0" w:color="auto"/>
            <w:left w:val="none" w:sz="0" w:space="0" w:color="auto"/>
            <w:bottom w:val="none" w:sz="0" w:space="0" w:color="auto"/>
            <w:right w:val="none" w:sz="0" w:space="0" w:color="auto"/>
          </w:divBdr>
        </w:div>
      </w:divsChild>
    </w:div>
    <w:div w:id="1606113982">
      <w:bodyDiv w:val="1"/>
      <w:marLeft w:val="0"/>
      <w:marRight w:val="0"/>
      <w:marTop w:val="0"/>
      <w:marBottom w:val="0"/>
      <w:divBdr>
        <w:top w:val="none" w:sz="0" w:space="0" w:color="auto"/>
        <w:left w:val="none" w:sz="0" w:space="0" w:color="auto"/>
        <w:bottom w:val="none" w:sz="0" w:space="0" w:color="auto"/>
        <w:right w:val="none" w:sz="0" w:space="0" w:color="auto"/>
      </w:divBdr>
    </w:div>
    <w:div w:id="180604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cottishsun.co.uk/news/13718140/woman-wins-sex-discrimination-pregnant-male-colleague/?utm_source=chatgpt.com" TargetMode="External"/><Relationship Id="rId13" Type="http://schemas.openxmlformats.org/officeDocument/2006/relationships/hyperlink" Target="https://redmans.co.uk/insights/benton-v-care-needs-ltd-employer-harassed-and-victimised-employee-because-of-ivf-treatment/?utm_source=chatgpt.com" TargetMode="External"/><Relationship Id="rId3" Type="http://schemas.openxmlformats.org/officeDocument/2006/relationships/settings" Target="settings.xml"/><Relationship Id="rId7" Type="http://schemas.openxmlformats.org/officeDocument/2006/relationships/hyperlink" Target="https://wirehouse-es.com/discrimination/landmark-case-mitie-and-the-350000-pregnancy-discrimination-ruling-ms-n-hinds-v-mitie-ltd/?utm_source=chatgpt.com" TargetMode="External"/><Relationship Id="rId12" Type="http://schemas.openxmlformats.org/officeDocument/2006/relationships/hyperlink" Target="https://www.personneltoday.com/hr/endometriosis-claim/?utm_source=chatgp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hrdirector.com/legal-updates/legal-updates-2024/employee-left-bedridden-endometriosis-wins-unfair-dismissal-claim-following-unilateral-withdrawal-work-home-agreement/?utm_source=chatgpt.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ersonneltoday.com/hr/endometriosis-claim/?utm_source=chatgpt.com" TargetMode="External"/><Relationship Id="rId4" Type="http://schemas.openxmlformats.org/officeDocument/2006/relationships/webSettings" Target="webSettings.xml"/><Relationship Id="rId9" Type="http://schemas.openxmlformats.org/officeDocument/2006/relationships/hyperlink" Target="https://www.thehrdirector.com/legal-updates/legal-updates-2024/employee-left-bedridden-endometriosis-wins-unfair-dismissal-claim-following-unilateral-withdrawal-work-home-agreement/?utm_source=chatgpt.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Farirai Gora</dc:creator>
  <cp:keywords/>
  <dc:description/>
  <cp:lastModifiedBy>Nnamdi Odozi</cp:lastModifiedBy>
  <cp:revision>15</cp:revision>
  <dcterms:created xsi:type="dcterms:W3CDTF">2025-03-02T18:35:00Z</dcterms:created>
  <dcterms:modified xsi:type="dcterms:W3CDTF">2025-05-19T15:45:00Z</dcterms:modified>
</cp:coreProperties>
</file>