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/>
    <w:p/>
    <w:p>
      <w:pPr>
        <w:jc w:val="center"/>
        <w:spacing w:after="200"/>
      </w:pPr>
      <w:r>
        <w:rPr>
          <w:rFonts w:ascii="Arial" w:hAnsi="Arial" w:eastAsia="Arial" w:cs="Arial"/>
          <w:color w:val="1A5276"/>
          <w:sz w:val="52"/>
          <w:szCs w:val="52"/>
          <w:b w:val="1"/>
          <w:bCs w:val="1"/>
        </w:rPr>
        <w:t xml:space="preserve">MANUAL DE USUARIO</w:t>
      </w:r>
    </w:p>
    <w:p>
      <w:pPr>
        <w:jc w:val="center"/>
        <w:spacing w:after="60"/>
      </w:pPr>
      <w:r>
        <w:rPr>
          <w:rFonts w:ascii="Arial" w:hAnsi="Arial" w:eastAsia="Arial" w:cs="Arial"/>
          <w:color w:val="2E86C1"/>
          <w:sz w:val="32"/>
          <w:szCs w:val="32"/>
        </w:rPr>
        <w:t xml:space="preserve">Sistema de Gestión de Convenios</w:t>
      </w:r>
    </w:p>
    <w:p>
      <w:pPr>
        <w:jc w:val="center"/>
        <w:spacing w:after="40"/>
      </w:pPr>
      <w:r>
        <w:rPr>
          <w:rFonts w:ascii="Arial" w:hAnsi="Arial" w:eastAsia="Arial" w:cs="Arial"/>
          <w:color w:val="5D6D7E"/>
          <w:sz w:val="26"/>
          <w:szCs w:val="26"/>
          <w:i w:val="1"/>
          <w:iCs w:val="1"/>
        </w:rPr>
        <w:t xml:space="preserve">Oficina de Cooperación y Relaciones Internacionales</w:t>
      </w:r>
    </w:p>
    <w:p>
      <w:pPr>
        <w:jc w:val="center"/>
        <w:spacing w:after="20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UNIVERSIDAD NACIONAL DEL CENTRO DEL PERÚ</w:t>
      </w:r>
    </w:p>
    <w:p/>
    <w:p/>
    <w:p/>
    <w:p/>
    <w:p>
      <w:pPr>
        <w:jc w:val="center"/>
      </w:pPr>
      <w:r>
        <w:rPr>
          <w:rFonts w:ascii="Arial" w:hAnsi="Arial" w:eastAsia="Arial" w:cs="Arial"/>
          <w:sz w:val="22"/>
          <w:szCs w:val="22"/>
        </w:rPr>
        <w:t xml:space="preserve">Versión 1.0 — 2026</w:t>
      </w:r>
    </w:p>
    <w:p>
      <w:r>
        <w:br w:type="page"/>
      </w:r>
    </w:p>
    <w:p>
      <w:pPr>
        <w:pStyle w:val="Heading1"/>
      </w:pPr>
      <w:bookmarkStart w:id="0" w:name="_Toc0"/>
      <w:r>
        <w:t>1. Acceso al Sistema</w:t>
      </w:r>
      <w:bookmarkEnd w:id="0"/>
    </w:p>
    <w:p>
      <w:pPr/>
      <w:r>
        <w:rPr>
          <w:rStyle w:val="normal"/>
        </w:rPr>
        <w:t xml:space="preserve">1. Abrir el navegador y entrar a la URL del sistema proporcionada por el administrador.</w:t>
      </w:r>
    </w:p>
    <w:p>
      <w:pPr/>
      <w:r>
        <w:rPr>
          <w:rStyle w:val="normal"/>
        </w:rPr>
        <w:t xml:space="preserve">2. Ingresar con el correo electrónico y contraseña asignados.</w:t>
      </w:r>
    </w:p>
    <w:p>
      <w:pPr/>
      <w:r>
        <w:rPr>
          <w:rStyle w:val="normal"/>
        </w:rPr>
        <w:t xml:space="preserve">3. Si es la primera vez, usar las credenciales proporcionadas por el administrador.</w:t>
      </w:r>
    </w:p>
    <w:p>
      <w:pPr>
        <w:pStyle w:val="Heading1"/>
      </w:pPr>
      <w:bookmarkStart w:id="1" w:name="_Toc1"/>
      <w:r>
        <w:t>2. Dashboard (Página Principal)</w:t>
      </w:r>
      <w:bookmarkEnd w:id="1"/>
    </w:p>
    <w:p>
      <w:pPr/>
      <w:r>
        <w:rPr>
          <w:rStyle w:val="normal"/>
        </w:rPr>
        <w:t xml:space="preserve">Al iniciar sesión se muestra el tablero de control con los siguientes elementos:</w:t>
      </w:r>
    </w:p>
    <w:p>
      <w:pPr/>
      <w:r>
        <w:rPr>
          <w:rStyle w:val="normal"/>
        </w:rPr>
        <w:t xml:space="preserve">• 3 tarjetas de estadísticas: Convenios Vigentes, Prontos a Vencer (próximos 90 días) y Vencidos.</w:t>
      </w:r>
    </w:p>
    <w:p>
      <w:pPr/>
      <w:r>
        <w:rPr>
          <w:rStyle w:val="normal"/>
        </w:rPr>
        <w:t xml:space="preserve">• Tabla de Convenios Recientes: los últimos 10 registrados en el sistema.</w:t>
      </w:r>
    </w:p>
    <w:p>
      <w:pPr/>
      <w:r>
        <w:rPr>
          <w:rStyle w:val="normal"/>
        </w:rPr>
        <w:t xml:space="preserve">• Acciones Rápidas: botones para acceder a Nuevo Convenio, Seguimiento de Convenios y Reportes.</w:t>
      </w:r>
    </w:p>
    <w:p>
      <w:pPr>
        <w:pStyle w:val="Heading1"/>
      </w:pPr>
      <w:bookmarkStart w:id="2" w:name="_Toc2"/>
      <w:r>
        <w:t>3. Gestión de Convenios</w:t>
      </w:r>
      <w:bookmarkEnd w:id="2"/>
    </w:p>
    <w:p>
      <w:pPr>
        <w:pStyle w:val="Heading2"/>
      </w:pPr>
      <w:bookmarkStart w:id="3" w:name="_Toc3"/>
      <w:r>
        <w:t>3.1 Registro de un Nuevo Convenio</w:t>
      </w:r>
      <w:bookmarkEnd w:id="3"/>
    </w:p>
    <w:p>
      <w:pPr/>
      <w:r>
        <w:rPr>
          <w:rStyle w:val="normal"/>
        </w:rPr>
        <w:t xml:space="preserve">1. Hacer click en "Nuevo Registro" (o desde el Dashboard en "Nuevo Convenio").</w:t>
      </w:r>
    </w:p>
    <w:p>
      <w:pPr/>
      <w:r>
        <w:rPr>
          <w:rStyle w:val="normal"/>
        </w:rPr>
        <w:t xml:space="preserve">2. Completar los siguientes campos:</w:t>
      </w:r>
    </w:p>
    <w:tbl>
      <w:tblGrid>
        <w:gridCol w:w="3000" w:type="dxa"/>
        <w:gridCol w:w="10000" w:type="dxa"/>
      </w:tblGrid>
      <w:tblPr>
        <w:tblW w:w="0" w:type="auto"/>
        <w:tblLayout w:type="autofit"/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3000" w:type="dxa"/>
            <w:noWrap/>
          </w:tcPr>
          <w:p>
            <w:pPr>
              <w:pStyle w:val="tableHeader"/>
            </w:pPr>
            <w:r>
              <w:rPr>
                <w:rStyle w:val="tableHeaderFont"/>
              </w:rPr>
              <w:t xml:space="preserve">Campo</w:t>
            </w:r>
          </w:p>
        </w:tc>
        <w:tc>
          <w:tcPr>
            <w:tcW w:w="10000" w:type="dxa"/>
            <w:noWrap/>
          </w:tcPr>
          <w:p>
            <w:pPr>
              <w:pStyle w:val="tableHeader"/>
            </w:pPr>
            <w:r>
              <w:rPr>
                <w:rStyle w:val="tableHeaderFont"/>
              </w:rPr>
              <w:t xml:space="preserve">Descripción</w:t>
            </w:r>
          </w:p>
        </w:tc>
      </w:tr>
      <w:tr>
        <w:trPr/>
        <w:tc>
          <w:tcPr>
            <w:tcW w:w="3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  <w:b w:val="1"/>
                <w:bCs w:val="1"/>
              </w:rPr>
              <w:t xml:space="preserve">N° de Convenio</w:t>
            </w:r>
          </w:p>
        </w:tc>
        <w:tc>
          <w:tcPr>
            <w:tcW w:w="10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Código único auto-generado con formato XXX-AÑO. Se puede modificar manualmente.</w:t>
            </w:r>
          </w:p>
        </w:tc>
      </w:tr>
      <w:tr>
        <w:trPr/>
        <w:tc>
          <w:tcPr>
            <w:tcW w:w="3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  <w:b w:val="1"/>
                <w:bCs w:val="1"/>
              </w:rPr>
              <w:t xml:space="preserve">Nombre Oficial</w:t>
            </w:r>
          </w:p>
        </w:tc>
        <w:tc>
          <w:tcPr>
            <w:tcW w:w="10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Nombre completo del convenio (se convierte a mayúsculas automáticamente).</w:t>
            </w:r>
          </w:p>
        </w:tc>
      </w:tr>
      <w:tr>
        <w:trPr/>
        <w:tc>
          <w:tcPr>
            <w:tcW w:w="3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  <w:b w:val="1"/>
                <w:bCs w:val="1"/>
              </w:rPr>
              <w:t xml:space="preserve">Título Corto</w:t>
            </w:r>
          </w:p>
        </w:tc>
        <w:tc>
          <w:tcPr>
            <w:tcW w:w="10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Versión resumida para mostrarse en los listados.</w:t>
            </w:r>
          </w:p>
        </w:tc>
      </w:tr>
      <w:tr>
        <w:trPr/>
        <w:tc>
          <w:tcPr>
            <w:tcW w:w="3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  <w:b w:val="1"/>
                <w:bCs w:val="1"/>
              </w:rPr>
              <w:t xml:space="preserve">Institución</w:t>
            </w:r>
          </w:p>
        </w:tc>
        <w:tc>
          <w:tcPr>
            <w:tcW w:w="10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Buscar una institución existente o crear una nueva con el botón "+".</w:t>
            </w:r>
          </w:p>
        </w:tc>
      </w:tr>
      <w:tr>
        <w:trPr/>
        <w:tc>
          <w:tcPr>
            <w:tcW w:w="3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  <w:b w:val="1"/>
                <w:bCs w:val="1"/>
              </w:rPr>
              <w:t xml:space="preserve">Tipo de Convenio</w:t>
            </w:r>
          </w:p>
        </w:tc>
        <w:tc>
          <w:tcPr>
            <w:tcW w:w="10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Seleccionar: Marco, Específico, Adenda, etc.</w:t>
            </w:r>
          </w:p>
        </w:tc>
      </w:tr>
      <w:tr>
        <w:trPr/>
        <w:tc>
          <w:tcPr>
            <w:tcW w:w="3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  <w:b w:val="1"/>
                <w:bCs w:val="1"/>
              </w:rPr>
              <w:t xml:space="preserve">Dictamen Original</w:t>
            </w:r>
          </w:p>
        </w:tc>
        <w:tc>
          <w:tcPr>
            <w:tcW w:w="10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PDF opcional del dictamen o documento original.</w:t>
            </w:r>
          </w:p>
        </w:tc>
      </w:tr>
      <w:tr>
        <w:trPr/>
        <w:tc>
          <w:tcPr>
            <w:tcW w:w="3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  <w:b w:val="1"/>
                <w:bCs w:val="1"/>
              </w:rPr>
              <w:t xml:space="preserve">Documento del Convenio</w:t>
            </w:r>
          </w:p>
        </w:tc>
        <w:tc>
          <w:tcPr>
            <w:tcW w:w="10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PDF del convenio firmado (obligatorio si se quiere Vigente).</w:t>
            </w:r>
          </w:p>
        </w:tc>
      </w:tr>
      <w:tr>
        <w:trPr/>
        <w:tc>
          <w:tcPr>
            <w:tcW w:w="3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  <w:b w:val="1"/>
                <w:bCs w:val="1"/>
              </w:rPr>
              <w:t xml:space="preserve">Fechas</w:t>
            </w:r>
          </w:p>
        </w:tc>
        <w:tc>
          <w:tcPr>
            <w:tcW w:w="10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Fecha de inicio y fin (solo si se sube el documento firmado).</w:t>
            </w:r>
          </w:p>
        </w:tc>
      </w:tr>
    </w:tbl>
    <w:p>
      <w:pPr/>
      <w:r>
        <w:rPr>
          <w:rStyle w:val="normal"/>
        </w:rPr>
        <w:t xml:space="preserve">3. Hacer click en "Registrar Convenio" para guardar.</w:t>
      </w:r>
    </w:p>
    <w:p>
      <w:pPr>
        <w:pStyle w:val="Heading2"/>
      </w:pPr>
      <w:bookmarkStart w:id="4" w:name="_Toc4"/>
      <w:r>
        <w:t>3.2 Listado y Búsqueda</w:t>
      </w:r>
      <w:bookmarkEnd w:id="4"/>
    </w:p>
    <w:p>
      <w:pPr/>
      <w:r>
        <w:rPr>
          <w:rStyle w:val="normal"/>
        </w:rPr>
        <w:t xml:space="preserve">• El listado principal muestra todos los convenios registrados.</w:t>
      </w:r>
    </w:p>
    <w:p>
      <w:pPr/>
      <w:r>
        <w:rPr>
          <w:rStyle w:val="normal"/>
        </w:rPr>
        <w:t xml:space="preserve">• Buscar por: nombre de convenio, número de resolución, institución o país.</w:t>
      </w:r>
    </w:p>
    <w:p>
      <w:pPr/>
      <w:r>
        <w:rPr>
          <w:rStyle w:val="normal"/>
        </w:rPr>
        <w:t xml:space="preserve">• Filtros de estado: Todos, En Proceso, Vigente, Por Vencer, Vencido.</w:t>
      </w:r>
    </w:p>
    <w:p>
      <w:pPr/>
      <w:r>
        <w:rPr>
          <w:rStyle w:val="normal"/>
        </w:rPr>
        <w:t xml:space="preserve">• Al pasar el mouse sobre el número de convenio aparece un tooltip con las opiniones pendientes.</w:t>
      </w:r>
    </w:p>
    <w:p>
      <w:pPr/>
      <w:r>
        <w:rPr>
          <w:rStyle w:val="normal"/>
        </w:rPr>
        <w:t xml:space="preserve">• Cada fila tiene botones de acción: Ver detalle (ojo) y Editar (lápiz), visibles al pasar el mouse.</w:t>
      </w:r>
    </w:p>
    <w:p>
      <w:pPr>
        <w:pStyle w:val="Heading2"/>
      </w:pPr>
      <w:bookmarkStart w:id="5" w:name="_Toc5"/>
      <w:r>
        <w:t>3.3 Editar Convenio</w:t>
      </w:r>
      <w:bookmarkEnd w:id="5"/>
    </w:p>
    <w:p>
      <w:pPr/>
      <w:r>
        <w:rPr>
          <w:rStyle w:val="normal"/>
        </w:rPr>
        <w:t xml:space="preserve">1. En el listado, hacer click en el ícono de lápiz en la fila del convenio.</w:t>
      </w:r>
    </w:p>
    <w:p>
      <w:pPr/>
      <w:r>
        <w:rPr>
          <w:rStyle w:val="normal"/>
        </w:rPr>
        <w:t xml:space="preserve">2. Modificar los campos necesarios.</w:t>
      </w:r>
    </w:p>
    <w:p>
      <w:pPr/>
      <w:r>
        <w:rPr>
          <w:rStyle w:val="normal"/>
        </w:rPr>
        <w:t xml:space="preserve">3. Hacer click en "Actualizar Convenio".</w:t>
      </w:r>
    </w:p>
    <w:p>
      <w:pPr>
        <w:pStyle w:val="Heading2"/>
      </w:pPr>
      <w:bookmarkStart w:id="6" w:name="_Toc6"/>
      <w:r>
        <w:t>3.4 Ver Detalle del Convenio</w:t>
      </w:r>
      <w:bookmarkEnd w:id="6"/>
    </w:p>
    <w:p>
      <w:pPr/>
      <w:r>
        <w:rPr>
          <w:rStyle w:val="normal"/>
        </w:rPr>
        <w:t xml:space="preserve">Esta es la pantalla más completa del sistema, dividida en dos columnas:</w:t>
      </w:r>
    </w:p>
    <w:p>
      <w:pPr>
        <w:pStyle w:val="Heading3"/>
      </w:pPr>
      <w:bookmarkStart w:id="7" w:name="_Toc7"/>
      <w:r>
        <w:t>Columna izquierda — Hoja de Ruta</w:t>
      </w:r>
      <w:bookmarkEnd w:id="7"/>
    </w:p>
    <w:p>
      <w:pPr/>
      <w:r>
        <w:rPr>
          <w:rStyle w:val="normal"/>
        </w:rPr>
        <w:t xml:space="preserve">Muestra las áreas seleccionadas para el flujo de opiniones técnicas. Cada área contiene:</w:t>
      </w:r>
    </w:p>
    <w:p>
      <w:pPr/>
      <w:r>
        <w:rPr>
          <w:rStyle w:val="normal"/>
        </w:rPr>
        <w:t xml:space="preserve">• Entrada: subir documentos recibidos desde esa área.</w:t>
      </w:r>
    </w:p>
    <w:p>
      <w:pPr/>
      <w:r>
        <w:rPr>
          <w:rStyle w:val="normal"/>
        </w:rPr>
        <w:t xml:space="preserve">• Salida: subir la respuesta emitida por el área.</w:t>
      </w:r>
    </w:p>
    <w:p>
      <w:pPr/>
      <w:r>
        <w:rPr>
          <w:rStyle w:val="normal"/>
        </w:rPr>
        <w:t xml:space="preserve">• Envío: seleccionar "Correo" o "ADESA". Si se elige ADESA, ingresar el número de expediente.</w:t>
      </w:r>
    </w:p>
    <w:p>
      <w:pPr/>
      <w:r>
        <w:rPr>
          <w:rStyle w:val="normal"/>
        </w:rPr>
        <w:t xml:space="preserve">• El círculo se vuelve verde cuando el área tiene entrada y salida completa.</w:t>
      </w:r>
    </w:p>
    <w:p>
      <w:pPr>
        <w:pStyle w:val="Heading3"/>
      </w:pPr>
      <w:bookmarkStart w:id="8" w:name="_Toc8"/>
      <w:r>
        <w:t>Columna derecha</w:t>
      </w:r>
      <w:bookmarkEnd w:id="8"/>
    </w:p>
    <w:p>
      <w:pPr/>
      <w:r>
        <w:rPr>
          <w:rStyle w:val="normal"/>
        </w:rPr>
        <w:t xml:space="preserve">• Visor de PDF: al hacer click en "Ver" en cualquier documento, se previsualiza en el visor interactivo.</w:t>
      </w:r>
    </w:p>
    <w:p>
      <w:pPr/>
      <w:r>
        <w:rPr>
          <w:rStyle w:val="normal"/>
        </w:rPr>
        <w:t xml:space="preserve">• Información del convenio: tipo, resolución, país, dictamen.</w:t>
      </w:r>
    </w:p>
    <w:p>
      <w:pPr/>
      <w:r>
        <w:rPr>
          <w:rStyle w:val="normal"/>
        </w:rPr>
        <w:t xml:space="preserve">• Acervo Digital: documentos finales del convenio (subir, ver, descargar, eliminar).</w:t>
      </w:r>
    </w:p>
    <w:p>
      <w:pPr/>
      <w:r>
        <w:rPr>
          <w:rStyle w:val="normal"/>
        </w:rPr>
        <w:t xml:space="preserve">• Nota de Gestión: campo de texto libre para observaciones internas.</w:t>
      </w:r>
    </w:p>
    <w:p>
      <w:pPr>
        <w:pStyle w:val="Heading2"/>
      </w:pPr>
      <w:bookmarkStart w:id="9" w:name="_Toc9"/>
      <w:r>
        <w:t>3.5 Activación del Convenio</w:t>
      </w:r>
      <w:bookmarkEnd w:id="9"/>
    </w:p>
    <w:p>
      <w:pPr/>
      <w:r>
        <w:rPr>
          <w:rStyle w:val="normal"/>
        </w:rPr>
        <w:t xml:space="preserve">Cuando todas las áreas tienen documento de entrada y salida, aparece un formulario con borde verde.</w:t>
      </w:r>
    </w:p>
    <w:p>
      <w:pPr/>
      <w:r>
        <w:rPr>
          <w:rStyle w:val="normal"/>
        </w:rPr>
        <w:t xml:space="preserve">Completar:</w:t>
      </w:r>
    </w:p>
    <w:p>
      <w:pPr/>
      <w:r>
        <w:rPr>
          <w:rStyle w:val="normal"/>
        </w:rPr>
        <w:t xml:space="preserve">• N° de Resolución</w:t>
      </w:r>
    </w:p>
    <w:p>
      <w:pPr/>
      <w:r>
        <w:rPr>
          <w:rStyle w:val="normal"/>
        </w:rPr>
        <w:t xml:space="preserve">• Fecha de Suscripción</w:t>
      </w:r>
    </w:p>
    <w:p>
      <w:pPr/>
      <w:r>
        <w:rPr>
          <w:rStyle w:val="normal"/>
        </w:rPr>
        <w:t xml:space="preserve">• Fecha de Inicio y Fecha de Fin</w:t>
      </w:r>
    </w:p>
    <w:p>
      <w:pPr/>
      <w:r>
        <w:rPr>
          <w:rStyle w:val="normal"/>
        </w:rPr>
        <w:t xml:space="preserve">• PDF del convenio firmado (opcional)</w:t>
      </w:r>
    </w:p>
    <w:p>
      <w:pPr/>
      <w:r>
        <w:rPr>
          <w:rStyle w:val="normal"/>
        </w:rPr>
        <w:t xml:space="preserve">Click en "Activar Convenio". El estado cambia a "Vigente".</w:t>
      </w:r>
    </w:p>
    <w:p>
      <w:pPr>
        <w:pStyle w:val="Heading1"/>
      </w:pPr>
      <w:bookmarkStart w:id="10" w:name="_Toc10"/>
      <w:r>
        <w:t>4. Generación de Oficios</w:t>
      </w:r>
      <w:bookmarkEnd w:id="10"/>
    </w:p>
    <w:p>
      <w:pPr>
        <w:pStyle w:val="Heading2"/>
      </w:pPr>
      <w:bookmarkStart w:id="11" w:name="_Toc11"/>
      <w:r>
        <w:t>4.1 Oficios de Opinión</w:t>
      </w:r>
      <w:bookmarkEnd w:id="11"/>
    </w:p>
    <w:p>
      <w:pPr/>
      <w:r>
        <w:rPr>
          <w:rStyle w:val="normal"/>
        </w:rPr>
        <w:t xml:space="preserve">1. En la pantalla de detalle del convenio, hacer click en "Crear Oficios".</w:t>
      </w:r>
    </w:p>
    <w:p>
      <w:pPr/>
      <w:r>
        <w:rPr>
          <w:rStyle w:val="normal"/>
        </w:rPr>
        <w:t xml:space="preserve">2. Para cada área (excepto Rectorado):</w:t>
      </w:r>
    </w:p>
    <w:p>
      <w:pPr/>
      <w:r>
        <w:rPr>
          <w:rStyle w:val="normal"/>
        </w:rPr>
        <w:t xml:space="preserve">   - Dirigido a: nombre y cargo del destinatario.</w:t>
      </w:r>
    </w:p>
    <w:p>
      <w:pPr/>
      <w:r>
        <w:rPr>
          <w:rStyle w:val="normal"/>
        </w:rPr>
        <w:t xml:space="preserve">   - N° de Oficio: número correlativo. Si se modifica el primero, los siguientes se recalculan automáticamente.</w:t>
      </w:r>
    </w:p>
    <w:p>
      <w:pPr/>
      <w:r>
        <w:rPr>
          <w:rStyle w:val="normal"/>
        </w:rPr>
        <w:t xml:space="preserve">3. Hacer click en "Generar Oficios" para crear todos los PDFs simultáneamente.</w:t>
      </w:r>
    </w:p>
    <w:p>
      <w:pPr/>
      <w:r>
        <w:rPr>
          <w:rStyle w:val="normal"/>
        </w:rPr>
        <w:t xml:space="preserve">4. Cada oficio se guarda automáticamente como documento de entrada del área correspondiente.</w:t>
      </w:r>
    </w:p>
    <w:p>
      <w:pPr>
        <w:pStyle w:val="Heading2"/>
      </w:pPr>
      <w:bookmarkStart w:id="12" w:name="_Toc12"/>
      <w:r>
        <w:t>4.2 Expediente Final a Rectorado</w:t>
      </w:r>
      <w:bookmarkEnd w:id="12"/>
    </w:p>
    <w:p>
      <w:pPr/>
      <w:r>
        <w:rPr>
          <w:rStyle w:val="normal"/>
        </w:rPr>
        <w:t xml:space="preserve">Una vez que todas las áreas tienen entrada + salida registrada y los oficios de opinión están generados, se puede crear el expediente final.</w:t>
      </w:r>
    </w:p>
    <w:p>
      <w:pPr/>
      <w:r>
        <w:rPr>
          <w:rStyle w:val="normal"/>
        </w:rPr>
        <w:t xml:space="preserve">1. Hacer click en "Generar Expediente Final a Rectorado".</w:t>
      </w:r>
    </w:p>
    <w:p>
      <w:pPr/>
      <w:r>
        <w:rPr>
          <w:rStyle w:val="normal"/>
        </w:rPr>
        <w:t xml:space="preserve">2. Completar destinatario y número de oficio.</w:t>
      </w:r>
    </w:p>
    <w:p>
      <w:pPr/>
      <w:r>
        <w:rPr>
          <w:rStyle w:val="normal"/>
        </w:rPr>
        <w:t xml:space="preserve">3. El sistema genera un PDF que incluye:</w:t>
      </w:r>
    </w:p>
    <w:p>
      <w:pPr/>
      <w:r>
        <w:rPr>
          <w:rStyle w:val="normal"/>
        </w:rPr>
        <w:t xml:space="preserve">   - Carta de solicitud de suscripción dirigida al Rector.</w:t>
      </w:r>
    </w:p>
    <w:p>
      <w:pPr/>
      <w:r>
        <w:rPr>
          <w:rStyle w:val="normal"/>
        </w:rPr>
        <w:t xml:space="preserve">   - Todos los documentos de opinión fusionados (entradas + salidas de cada área, de la más reciente a la más antigua).</w:t>
      </w:r>
    </w:p>
    <w:p>
      <w:pPr/>
      <w:r>
        <w:rPr>
          <w:rStyle w:val="normal"/>
        </w:rPr>
        <w:t xml:space="preserve">4. El archivo se guarda automáticamente en el Acervo Digital del convenio.</w:t>
      </w:r>
    </w:p>
    <w:p>
      <w:pPr>
        <w:pStyle w:val="Heading1"/>
      </w:pPr>
      <w:bookmarkStart w:id="13" w:name="_Toc13"/>
      <w:r>
        <w:t>5. Control de Asistencia</w:t>
      </w:r>
      <w:bookmarkEnd w:id="13"/>
    </w:p>
    <w:p>
      <w:pPr/>
      <w:r>
        <w:rPr>
          <w:rStyle w:val="normal"/>
        </w:rPr>
        <w:t xml:space="preserve">Módulo para registrar la entrada y salida de practicantes.</w:t>
      </w:r>
    </w:p>
    <w:p>
      <w:pPr>
        <w:pStyle w:val="Heading2"/>
      </w:pPr>
      <w:bookmarkStart w:id="14" w:name="_Toc14"/>
      <w:r>
        <w:t>5.1 Marcar Entrada</w:t>
      </w:r>
      <w:bookmarkEnd w:id="14"/>
    </w:p>
    <w:p>
      <w:pPr/>
      <w:r>
        <w:rPr>
          <w:rStyle w:val="normal"/>
        </w:rPr>
        <w:t xml:space="preserve">1. Ir a "Control de Asistencia" en el menú lateral (sección Administración).</w:t>
      </w:r>
    </w:p>
    <w:p>
      <w:pPr/>
      <w:r>
        <w:rPr>
          <w:rStyle w:val="normal"/>
        </w:rPr>
        <w:t xml:space="preserve">2. Escribir el nombre completo del practicante (se convierte a mayúsculas automáticamente).</w:t>
      </w:r>
    </w:p>
    <w:p>
      <w:pPr/>
      <w:r>
        <w:rPr>
          <w:rStyle w:val="normal"/>
        </w:rPr>
        <w:t xml:space="preserve">3. Click en "Marcar Entrada". Se registra la fecha y hora actual.</w:t>
      </w:r>
    </w:p>
    <w:p>
      <w:pPr>
        <w:pStyle w:val="Heading2"/>
      </w:pPr>
      <w:bookmarkStart w:id="15" w:name="_Toc15"/>
      <w:r>
        <w:t>5.2 Marcar Salida</w:t>
      </w:r>
      <w:bookmarkEnd w:id="15"/>
    </w:p>
    <w:p>
      <w:pPr/>
      <w:r>
        <w:rPr>
          <w:rStyle w:val="normal"/>
        </w:rPr>
        <w:t xml:space="preserve">1. En la tabla del día, buscar el registro del practicante.</w:t>
      </w:r>
    </w:p>
    <w:p>
      <w:pPr/>
      <w:r>
        <w:rPr>
          <w:rStyle w:val="normal"/>
        </w:rPr>
        <w:t xml:space="preserve">2. Click en el botón verde "Salida". Se registra la hora actual.</w:t>
      </w:r>
    </w:p>
    <w:p>
      <w:pPr/>
      <w:r>
        <w:rPr>
          <w:rStyle w:val="normal"/>
        </w:rPr>
        <w:t xml:space="preserve">3. Una vez marcada la salida, el botón desaparece y se muestra la hora.</w:t>
      </w:r>
    </w:p>
    <w:p>
      <w:pPr>
        <w:pStyle w:val="Heading2"/>
      </w:pPr>
      <w:bookmarkStart w:id="16" w:name="_Toc16"/>
      <w:r>
        <w:t>5.3 Consultar por Fecha</w:t>
      </w:r>
      <w:bookmarkEnd w:id="16"/>
    </w:p>
    <w:p>
      <w:pPr/>
      <w:r>
        <w:rPr>
          <w:rStyle w:val="normal"/>
        </w:rPr>
        <w:t xml:space="preserve">• Usar el selector de fecha en la parte superior para ver registros de cualquier día.</w:t>
      </w:r>
    </w:p>
    <w:p>
      <w:pPr/>
      <w:r>
        <w:rPr>
          <w:rStyle w:val="normal"/>
        </w:rPr>
        <w:t xml:space="preserve">• Los días con registros aparecen como enlaces en la barra inferior.</w:t>
      </w:r>
    </w:p>
    <w:p>
      <w:pPr/>
      <w:r>
        <w:rPr>
          <w:rStyle w:val="normal"/>
        </w:rPr>
        <w:t xml:space="preserve">• El día actual se muestra con un anillo azul.</w:t>
      </w:r>
    </w:p>
    <w:p>
      <w:pPr>
        <w:pStyle w:val="Heading1"/>
      </w:pPr>
      <w:bookmarkStart w:id="17" w:name="_Toc17"/>
      <w:r>
        <w:t>6. Instituciones (Aliados)</w:t>
      </w:r>
      <w:bookmarkEnd w:id="17"/>
    </w:p>
    <w:p>
      <w:pPr/>
      <w:r>
        <w:rPr>
          <w:rStyle w:val="normal"/>
        </w:rPr>
        <w:t xml:space="preserve">• Listado: tarjetas con nombre, país, tipo institucional y cantidad de convenios asociados.</w:t>
      </w:r>
    </w:p>
    <w:p>
      <w:pPr/>
      <w:r>
        <w:rPr>
          <w:rStyle w:val="normal"/>
        </w:rPr>
        <w:t xml:space="preserve">• Crear: formulario con nombre (mayúsculas), país (selector o texto libre), tipo (desplegable).</w:t>
      </w:r>
    </w:p>
    <w:p>
      <w:pPr/>
      <w:r>
        <w:rPr>
          <w:rStyle w:val="normal"/>
        </w:rPr>
        <w:t xml:space="preserve">• Ver Detalle: muestra la información de la institución y la lista de convenios asociados.</w:t>
      </w:r>
    </w:p>
    <w:p>
      <w:pPr>
        <w:pStyle w:val="Heading1"/>
      </w:pPr>
      <w:bookmarkStart w:id="18" w:name="_Toc18"/>
      <w:r>
        <w:t>7. Reportes y Estadísticas</w:t>
      </w:r>
      <w:bookmarkEnd w:id="18"/>
    </w:p>
    <w:p>
      <w:pPr/>
      <w:r>
        <w:rPr>
          <w:rStyle w:val="normal"/>
        </w:rPr>
        <w:t xml:space="preserve">1. Ir a "Reportes y Estadísticas" en el menú lateral.</w:t>
      </w:r>
    </w:p>
    <w:p>
      <w:pPr/>
      <w:r>
        <w:rPr>
          <w:rStyle w:val="normal"/>
        </w:rPr>
        <w:t xml:space="preserve">2. Aplicar filtros: búsqueda general, clasificación, tipo de convenio, país, año.</w:t>
      </w:r>
    </w:p>
    <w:p>
      <w:pPr/>
      <w:r>
        <w:rPr>
          <w:rStyle w:val="normal"/>
        </w:rPr>
        <w:t xml:space="preserve">3. Hacer click en "Filtrar" para ver los resultados.</w:t>
      </w:r>
    </w:p>
    <w:p>
      <w:pPr/>
      <w:r>
        <w:rPr>
          <w:rStyle w:val="normal"/>
        </w:rPr>
        <w:t xml:space="preserve">4. Hacer click en "Excel" para descargar los resultados como archivo de Excel.</w:t>
      </w:r>
    </w:p>
    <w:p>
      <w:pPr>
        <w:pStyle w:val="Heading1"/>
      </w:pPr>
      <w:bookmarkStart w:id="19" w:name="_Toc19"/>
      <w:r>
        <w:t>8. Consejos Útiles</w:t>
      </w:r>
      <w:bookmarkEnd w:id="19"/>
    </w:p>
    <w:p>
      <w:pPr/>
      <w:r>
        <w:rPr>
          <w:rStyle w:val="normal"/>
        </w:rPr>
        <w:t xml:space="preserve">• Para crear una institución rápidamente desde el formulario de convenio, usar el botón "+" al lado del selector.</w:t>
      </w:r>
    </w:p>
    <w:p>
      <w:pPr/>
      <w:r>
        <w:rPr>
          <w:rStyle w:val="normal"/>
        </w:rPr>
        <w:t xml:space="preserve">• Los PDFs deben ser archivos válidos y no superar los 10 MB.</w:t>
      </w:r>
    </w:p>
    <w:p>
      <w:pPr/>
      <w:r>
        <w:rPr>
          <w:rStyle w:val="normal"/>
        </w:rPr>
        <w:t xml:space="preserve">• Los filtros de estado se combinan con la búsqueda por texto.</w:t>
      </w:r>
    </w:p>
    <w:p>
      <w:pPr/>
      <w:r>
        <w:rPr>
          <w:rStyle w:val="normal"/>
        </w:rPr>
        <w:t xml:space="preserve">• Los oficios generados se pueden descargar desde el detalle del convenio.</w:t>
      </w:r>
    </w:p>
    <w:p>
      <w:pPr/>
      <w:r>
        <w:rPr>
          <w:rStyle w:val="normal"/>
        </w:rPr>
        <w:t xml:space="preserve">• No eliminar registros de asistencia a menos que sea estrictamente necesario.</w:t>
      </w:r>
    </w:p>
    <w:p>
      <w:pPr>
        <w:pStyle w:val="Heading1"/>
      </w:pPr>
      <w:bookmarkStart w:id="20" w:name="_Toc20"/>
      <w:r>
        <w:t>9. Solución de Problemas</w:t>
      </w:r>
      <w:bookmarkEnd w:id="20"/>
    </w:p>
    <w:tbl>
      <w:tblGrid>
        <w:gridCol w:w="4000" w:type="dxa"/>
        <w:gridCol w:w="4000" w:type="dxa"/>
        <w:gridCol w:w="6000" w:type="dxa"/>
      </w:tblGrid>
      <w:tblPr>
        <w:tblW w:w="0" w:type="auto"/>
        <w:tblLayout w:type="autofit"/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4000" w:type="dxa"/>
            <w:noWrap/>
          </w:tcPr>
          <w:p>
            <w:pPr>
              <w:pStyle w:val="tableHeader"/>
            </w:pPr>
            <w:r>
              <w:rPr>
                <w:rStyle w:val="tableHeaderFont"/>
              </w:rPr>
              <w:t xml:space="preserve">Problema</w:t>
            </w:r>
          </w:p>
        </w:tc>
        <w:tc>
          <w:tcPr>
            <w:tcW w:w="4000" w:type="dxa"/>
            <w:noWrap/>
          </w:tcPr>
          <w:p>
            <w:pPr>
              <w:pStyle w:val="tableHeader"/>
            </w:pPr>
            <w:r>
              <w:rPr>
                <w:rStyle w:val="tableHeaderFont"/>
              </w:rPr>
              <w:t xml:space="preserve">Causa</w:t>
            </w:r>
          </w:p>
        </w:tc>
        <w:tc>
          <w:tcPr>
            <w:tcW w:w="6000" w:type="dxa"/>
            <w:noWrap/>
          </w:tcPr>
          <w:p>
            <w:pPr>
              <w:pStyle w:val="tableHeader"/>
            </w:pPr>
            <w:r>
              <w:rPr>
                <w:rStyle w:val="tableHeaderFont"/>
              </w:rPr>
              <w:t xml:space="preserve">Solución</w:t>
            </w:r>
          </w:p>
        </w:tc>
      </w:tr>
      <w:tr>
        <w:trPr/>
        <w:tc>
          <w:tcPr>
            <w:tcW w:w="4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No carga el CSS o la página se ve mal</w:t>
            </w:r>
          </w:p>
        </w:tc>
        <w:tc>
          <w:tcPr>
            <w:tcW w:w="4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Caché del navegador o assets desactualizados</w:t>
            </w:r>
          </w:p>
        </w:tc>
        <w:tc>
          <w:tcPr>
            <w:tcW w:w="6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Ctrl+F5 o limpiar caché. El administrador debe ejecutar npm run build.</w:t>
            </w:r>
          </w:p>
        </w:tc>
      </w:tr>
      <w:tr>
        <w:trPr/>
        <w:tc>
          <w:tcPr>
            <w:tcW w:w="4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Error 404 al guardar un formulario</w:t>
            </w:r>
          </w:p>
        </w:tc>
        <w:tc>
          <w:tcPr>
            <w:tcW w:w="4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Sesión expirada</w:t>
            </w:r>
          </w:p>
        </w:tc>
        <w:tc>
          <w:tcPr>
            <w:tcW w:w="6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Volver a iniciar sesión.</w:t>
            </w:r>
          </w:p>
        </w:tc>
      </w:tr>
      <w:tr>
        <w:trPr/>
        <w:tc>
          <w:tcPr>
            <w:tcW w:w="4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No aparecen las áreas en hoja de ruta</w:t>
            </w:r>
          </w:p>
        </w:tc>
        <w:tc>
          <w:tcPr>
            <w:tcW w:w="4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No se configuraron al crear el convenio</w:t>
            </w:r>
          </w:p>
        </w:tc>
        <w:tc>
          <w:tcPr>
            <w:tcW w:w="6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Ir a Editar o configurar desde la pantalla de detalle.</w:t>
            </w:r>
          </w:p>
        </w:tc>
      </w:tr>
      <w:tr>
        <w:trPr/>
        <w:tc>
          <w:tcPr>
            <w:tcW w:w="4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El PDF no se ve en el visor</w:t>
            </w:r>
          </w:p>
        </w:tc>
        <w:tc>
          <w:tcPr>
            <w:tcW w:w="4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Archivo corrupto o muy grande</w:t>
            </w:r>
          </w:p>
        </w:tc>
        <w:tc>
          <w:tcPr>
            <w:tcW w:w="6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Re-subir el archivo PDF verificando que sea válido.</w:t>
            </w:r>
          </w:p>
        </w:tc>
      </w:tr>
      <w:tr>
        <w:trPr/>
        <w:tc>
          <w:tcPr>
            <w:tcW w:w="4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Error "Route not defined"</w:t>
            </w:r>
          </w:p>
        </w:tc>
        <w:tc>
          <w:tcPr>
            <w:tcW w:w="4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Caché de rutas desactualizada</w:t>
            </w:r>
          </w:p>
        </w:tc>
        <w:tc>
          <w:tcPr>
            <w:tcW w:w="6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El administrador debe ejecutar php artisan route:clear.</w:t>
            </w:r>
          </w:p>
        </w:tc>
      </w:tr>
      <w:tr>
        <w:trPr/>
        <w:tc>
          <w:tcPr>
            <w:tcW w:w="4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Error al generar expediente final</w:t>
            </w:r>
          </w:p>
        </w:tc>
        <w:tc>
          <w:tcPr>
            <w:tcW w:w="4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Ghostscript no instalado o PDF corrupto</w:t>
            </w:r>
          </w:p>
        </w:tc>
        <w:tc>
          <w:tcPr>
            <w:tcW w:w="6000" w:type="dxa"/>
            <w:noWrap/>
          </w:tcPr>
          <w:p>
            <w:pPr>
              <w:pStyle w:val="cellP"/>
            </w:pPr>
            <w:r>
              <w:rPr>
                <w:sz w:val="20"/>
                <w:szCs w:val="20"/>
              </w:rPr>
              <w:t xml:space="preserve">Verificar que gs esté instalado. Revisar storage/logs/laravel.log.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tru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360" w:after="200"/>
    </w:pPr>
    <w:rPr>
      <w:rFonts w:ascii="Arial" w:hAnsi="Arial" w:eastAsia="Arial" w:cs="Arial"/>
      <w:color w:val="1A5276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300" w:after="160"/>
    </w:pPr>
    <w:rPr>
      <w:rFonts w:ascii="Arial" w:hAnsi="Arial" w:eastAsia="Arial" w:cs="Arial"/>
      <w:color w:val="2E86C1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240" w:after="120"/>
    </w:pPr>
    <w:rPr>
      <w:rFonts w:ascii="Arial" w:hAnsi="Arial" w:eastAsia="Arial" w:cs="Arial"/>
      <w:color w:val="2471A3"/>
      <w:sz w:val="24"/>
      <w:szCs w:val="24"/>
      <w:b w:val="1"/>
      <w:bCs w:val="1"/>
    </w:rPr>
  </w:style>
  <w:style w:type="paragraph" w:customStyle="1" w:styleId="normal">
    <w:name w:val="normal"/>
    <w:basedOn w:val="Normal"/>
    <w:pPr>
      <w:spacing w:before="60" w:after="80" w:line="312" w:lineRule="auto"/>
    </w:pPr>
  </w:style>
  <w:style w:type="paragraph" w:customStyle="1" w:styleId="tableHeader">
    <w:name w:val="tableHeader"/>
    <w:basedOn w:val="Normal"/>
    <w:pPr>
      <w:jc w:val="center"/>
      <w:spacing w:before="40" w:after="40"/>
    </w:pPr>
  </w:style>
  <w:style w:type="paragraph" w:customStyle="1" w:styleId="cellP">
    <w:name w:val="cellP"/>
    <w:basedOn w:val="Normal"/>
    <w:pPr>
      <w:spacing w:before="40" w:after="40"/>
    </w:pPr>
  </w:style>
  <w:style w:type="character">
    <w:name w:val="boldText"/>
    <w:rPr>
      <w:sz w:val="22"/>
      <w:szCs w:val="22"/>
      <w:b w:val="1"/>
      <w:bCs w:val="1"/>
    </w:rPr>
  </w:style>
  <w:style w:type="character">
    <w:name w:val="code"/>
    <w:rPr>
      <w:rFonts w:ascii="Courier New" w:hAnsi="Courier New" w:eastAsia="Courier New" w:cs="Courier New"/>
      <w:color w:val="333333"/>
      <w:sz w:val="18"/>
      <w:szCs w:val="18"/>
    </w:rPr>
  </w:style>
  <w:style w:type="character">
    <w:name w:val="tableHeaderFont"/>
    <w:rPr>
      <w:color w:val="FFFFFF"/>
      <w:sz w:val="20"/>
      <w:szCs w:val="20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2026-07-21T20:51:47+00:00</dcterms:created>
  <dcterms:modified xsi:type="dcterms:W3CDTF">2026-07-21T20:51:47+00:00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