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Mua máy chủ phục vụ hệ thống nội bộ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Mua máy chủ phục vụ hệ thống nội bộ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máy chủ phục vụ hệ thống nội bộ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00001401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121.000.000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121.000.000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trăm hai mươi mốt triệu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120.000.000 đồng</w:t>
      </w:r>
    </w:p>
    <w:p>
      <w:pPr>
        <w:spacing w:after="40"/>
      </w:pPr>
      <w:r>
        <w:rPr>
          <w:b/>
        </w:rPr>
        <w:t xml:space="preserve">Số tiền công ty thanh toán thêm: </w:t>
      </w:r>
      <w:r>
        <w:rPr>
          <w:b/>
        </w:rPr>
        <w:t>1.000.000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