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Số: 00000501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STT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TÊN HÀNG HÓA, DỊCH VỤ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ĐVT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SL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ĐƠN GIÁ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Dịch vụ ăn uống tiếp khách đối tác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Suất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400.000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3.200.000</w:t>
            </w:r>
          </w:p>
        </w:tc>
      </w:tr>
    </w:tbl>
    <w:p>
      <w:pPr>
        <w:spacing w:after="40"/>
      </w:pPr>
      <w:r>
        <w:rPr>
          <w:b w:val="0"/>
        </w:rPr>
        <w:t>Cộng tiền hàng chưa thuế:</w:t>
      </w:r>
      <w:r>
        <w:rPr>
          <w:b w:val="0"/>
        </w:rPr>
        <w:t xml:space="preserve"> 3.200.000 VND</w:t>
      </w:r>
    </w:p>
    <w:p>
      <w:pPr>
        <w:spacing w:after="40"/>
      </w:pPr>
      <w:r>
        <w:rPr>
          <w:b w:val="0"/>
        </w:rPr>
        <w:t>Thuế GTGT (8%):</w:t>
      </w:r>
      <w:r>
        <w:rPr>
          <w:b w:val="0"/>
        </w:rPr>
        <w:t xml:space="preserve"> 256.000 VND</w:t>
      </w:r>
    </w:p>
    <w:p>
      <w:pPr>
        <w:spacing w:after="40"/>
      </w:pPr>
      <w:r>
        <w:rPr>
          <w:b/>
        </w:rPr>
        <w:t>TỔNG CỘNG THANH TOÁN:</w:t>
      </w:r>
      <w:r>
        <w:rPr>
          <w:b/>
        </w:rPr>
        <w:t xml:space="preserve"> 3.456.000 VND</w:t>
      </w:r>
    </w:p>
    <w:p>
      <w:r>
        <w:rPr>
          <w:b/>
        </w:rPr>
        <w:t xml:space="preserve">Số tiền bằng chữ: </w:t>
      </w:r>
      <w:r>
        <w:t>Ba triệu bốn trăm năm mươi sáu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