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Số: 00000601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TÊN HÀNG HÓA, DỊCH VỤ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ĐVT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SL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ĐƠN GIÁ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Dịch vụ tiệc tiếp khách đoàn kiểm toán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Suất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550.000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2.750.000</w:t>
            </w:r>
          </w:p>
        </w:tc>
      </w:tr>
    </w:tbl>
    <w:p>
      <w:pPr>
        <w:spacing w:after="40"/>
      </w:pPr>
      <w:r>
        <w:rPr>
          <w:b w:val="0"/>
        </w:rPr>
        <w:t>Cộng tiền hàng chưa thuế:</w:t>
      </w:r>
      <w:r>
        <w:rPr>
          <w:b w:val="0"/>
        </w:rPr>
        <w:t xml:space="preserve"> 2.750.000 VND</w:t>
      </w:r>
    </w:p>
    <w:p>
      <w:pPr>
        <w:spacing w:after="40"/>
      </w:pPr>
      <w:r>
        <w:rPr>
          <w:b w:val="0"/>
        </w:rPr>
        <w:t>Thuế GTGT (8%):</w:t>
      </w:r>
      <w:r>
        <w:rPr>
          <w:b w:val="0"/>
        </w:rPr>
        <w:t xml:space="preserve"> 220.000 VND</w:t>
      </w:r>
    </w:p>
    <w:p>
      <w:pPr>
        <w:spacing w:after="40"/>
      </w:pPr>
      <w:r>
        <w:rPr>
          <w:b/>
        </w:rPr>
        <w:t>TỔNG CỘNG THANH TOÁN:</w:t>
      </w:r>
      <w:r>
        <w:rPr>
          <w:b/>
        </w:rPr>
        <w:t xml:space="preserve"> 2.970.000 VND</w:t>
      </w:r>
    </w:p>
    <w:p>
      <w:r>
        <w:rPr>
          <w:b/>
        </w:rPr>
        <w:t xml:space="preserve">Số tiền bằng chữ: </w:t>
      </w:r>
      <w:r>
        <w:t>Hai triệu chín trăm bảy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