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XÁC NHẬN GIAO DỊCH THANH TOÁN</w:t>
      </w:r>
    </w:p>
    <w:p>
      <w:r>
        <w:t>Đơn vị phát hành: Ngân hàng Demo</w:t>
      </w:r>
    </w:p>
    <w:p>
      <w:r>
        <w:t>Số chứng từ: GD-5008</w:t>
      </w:r>
    </w:p>
    <w:p>
      <w:r>
        <w:t>Ngày chứng từ: 2026-10-01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SỐ LƯỢNG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sz w:val="18"/>
              </w:rPr>
              <w:t>Chuyển khoản thuê địa điểm hội thảo</w:t>
            </w:r>
          </w:p>
        </w:tc>
        <w:tc>
          <w:tcPr>
            <w:tcW w:type="dxa" w:w="255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550"/>
          </w:tcPr>
          <w:p>
            <w:pPr>
              <w:jc w:val="right"/>
            </w:pPr>
            <w:r>
              <w:rPr>
                <w:sz w:val="18"/>
              </w:rPr>
              <w:t>12.000.000</w:t>
            </w:r>
          </w:p>
        </w:tc>
        <w:tc>
          <w:tcPr>
            <w:tcW w:type="dxa" w:w="2550"/>
          </w:tcPr>
          <w:p>
            <w:pPr>
              <w:jc w:val="left"/>
            </w:pPr>
            <w:r>
              <w:rPr>
                <w:sz w:val="18"/>
              </w:rPr>
              <w:t>12.000.000</w:t>
            </w:r>
          </w:p>
        </w:tc>
      </w:tr>
    </w:tbl>
    <w:p>
      <w:r>
        <w:t>Tổng thanh toán: 12.000.000 đồng</w:t>
      </w:r>
    </w:p>
    <w:p>
      <w:r>
        <w:t>Ghi chú: Trạng thái: Hoàn tất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