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Hợp lệ - không phát sinh chênh lệch.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Vật tư văn phòng phục vụ dự án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0001703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2.500.000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2.500.000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2.500.000 đồng</w:t>
      </w:r>
    </w:p>
    <w:p>
      <w:r>
        <w:t>Không phát sinh chênh lệch: 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