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CHỨNG TỪ THANH TOÁN</w:t>
      </w:r>
    </w:p>
    <w:p>
      <w:r>
        <w:t>Đơn vị phát hành: Đơn vị đối tác</w:t>
      </w:r>
    </w:p>
    <w:p>
      <w:r>
        <w:t>Số chứng từ: DOC-1808</w:t>
      </w:r>
    </w:p>
    <w:p>
      <w:r>
        <w:t>Ngày chứng từ: 2026-10-01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/>
                <w:sz w:val="18"/>
              </w:rPr>
              <w:t>SỐ LƯỢNG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sz w:val="18"/>
              </w:rPr>
              <w:t>Giấy xác nhận thanh toán dịch vụ</w:t>
            </w:r>
          </w:p>
        </w:tc>
        <w:tc>
          <w:tcPr>
            <w:tcW w:type="dxa" w:w="255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550"/>
          </w:tcPr>
          <w:p>
            <w:pPr>
              <w:jc w:val="right"/>
            </w:pPr>
            <w:r>
              <w:rPr>
                <w:sz w:val="18"/>
              </w:rPr>
              <w:t>720.000</w:t>
            </w:r>
          </w:p>
        </w:tc>
        <w:tc>
          <w:tcPr>
            <w:tcW w:type="dxa" w:w="2550"/>
          </w:tcPr>
          <w:p>
            <w:pPr>
              <w:jc w:val="left"/>
            </w:pPr>
            <w:r>
              <w:rPr>
                <w:sz w:val="18"/>
              </w:rPr>
              <w:t>720.000</w:t>
            </w:r>
          </w:p>
        </w:tc>
      </w:tr>
    </w:tbl>
    <w:p>
      <w:r>
        <w:t>Tổng thanh toán: 720.000 đồng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