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Внутриопухолевая гетерогенность, возраст на момент постановки диагноза и общая выживаемость при глиобластоме: анализ данных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Затем мы спросили, не объясняется ли эффект возраста внутриопухолевой гетерогенностью. Каждую опухоль мы оценили двумя способами: энтропией клеточных состояний по четырём транскрипционным состояниям Нефтеля, рассчитанной по объёмной экспрессии для 437 опухолей TCGA и 218 опухолей CGGA, и показателем MATH, рассчитанным по аллельным частотам соматических мутаций для 375 опухолей TCGA. Ни один из показателей не рос с возрастом. Энтропия не была связана с возрастом ни в одной когорте (ρ Спирмена 0.04 и 0.07), а MATH у пожилых пациентов был немного ниже (ρ = −0.18). Ни один показатель сам по себе не предсказывал выживаемость, а его добавление в модель не меняло отношение рисков для возраста (1.032 с энтропией, 1.037 с MATH). Наконец, мы объединили оценки эффекта возраста по 13 когортам и примерно 40 800 пациентам: четыре когорты с индивидуальными данными (TCGA, CGGA, MSK-IMPACT и CPTAC) и девять опубликованных серий. Отношение рисков в модели случайных эффектов составило 1.028 на год (95 % ДИ 1.024–1.033; интервал предсказания 1.012–1.045), все когорты указывали в одну сторону, а медианный возраст когорты её оценку не объяснял. Возраст — сильный, воспроизводимый и во многом независимый предиктор выживаемости при глиобластоме, и объёмные меры внутриопухолевой гетерогенности его не объясняют. Код анализа, гармонизированные когорты и браузерная платформа, в которой другие исследователи могут сравнить с ними собственную когорту, опубликованы открыто.</w:t>
      </w:r>
    </w:p>
    <w:p>
      <w:pPr>
        <w:pStyle w:val="Heading2"/>
      </w:pPr>
      <w:r>
        <w:t>Ключевые слова</w:t>
      </w:r>
    </w:p>
    <w:p>
      <w:r>
        <w:t>глиобластома, возраст на момент диагноза, общая выживаемость, внутриопухолевая гетерогенность, клеточные состояния, показатель MATH, регрессия Кокса, метаанализ, TCGA, CGGA</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В объёмном образце опухоли гетерогенность можно измерить двумя основными способами. На уровне ДНК показатель MATH (mutant-allele tumor heterogeneity) описывает, насколько широко разбросаны аллельные частоты соматических мутаций опухоли: у опухоли из одного клона частоты всех мутаций похожи, а у опухоли из нескольких субклонов разброс широкий [19]. На уровне РНК четыре клеточных состояния, описанные Нефтелем и соавторами, можно оценить по объёмному профилю экспрессии, что даёт грубую оценку того, как эти состояния смешаны в данной опухоли [20]. Оба подхода — суррогаты. Ни один не видит отдельных клеток. Зато оба можно применить к сотням опухолей с данными о выживаемости, чего одноклеточные исследования не могут.</w:t>
      </w:r>
    </w:p>
    <w:p>
      <w:pPr>
        <w:ind w:firstLine="567"/>
      </w:pPr>
      <w:r>
        <w:t>Наша работа измеряет гетерогенность обоими способами и задаёт о ней конкретный вопрос. Возраст умножает риск смерти примерно на 1.4 за десятилетие. Если бы опухоли пожилых были более гетерогенными, гетерогенность могла бы быть частью причины, и любой молекулярный показатель, связанный с возрастом, выглядел бы прогностическим по ложной причине, пока возраст не включён в модель. Поэтому мы сначала аккуратно устанавливаем эффект возраста, а затем проверяем, следует ли гетерогенность за возрастом, предсказывает ли она выживаемость и меняет ли оценку возраста, когда обе переменные входят в одну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[21].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[22].</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[23].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[20].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21].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[24].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[25].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[26, 27]. Затем исследование CE.6 сделало короткий курс лучевой терапии с темозоломидом стандартом для пациентов 65 лет и старше при медиане выживаемости 9.3 месяца [28].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[29].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[30, 31].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[32].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[33].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[34].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[24, 25].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три вопроса для этого набора данных вместе не разбирали. Насколько устойчив эффект возраста, когда мы меняем набор поправок, а каждая поправка заодно уменьшает выборку? Остаётся ли эффект одинаковым на всём протяжении наблюдения? Сколько от него остаётся, если убрать IDH-мутантные опухоли, которые WHO CNS5 больше не считает глиобластомой? И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[35]. Из литературы по гетерогенности следуют ещё два вопроса. Связана ли внутриопухолевая гетерогенность, измеренная в объёмных образцах, с возрастом, и объясняет ли она какую-то часть эффекта возраста? И насколько эффект возраста различается между когортами, если сравнить больше двух?</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проверить, независима ли эта связь от пола, индекса Карновского, метилирования промотора MGMT, статуса мутации IDH и двух мер внутриопухолевой гетерогенности, убедиться, что она воспроизводится на независимой когорте CGGA, и поместить её среди оценок из других когорт.</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Оценить внутриопухолевую гетерогенность каждой опухоли двумя способами — энтропией клеточных состояний по объёмной экспрессии и показателем MATH по аллельным частотам мутаций — и проверить, связан ли какой-либо из них с возрастом, предсказывает ли выживаемость и меняет ли оценку возраста.</w:t>
      </w:r>
    </w:p>
    <w:p>
      <w:pPr>
        <w:pStyle w:val="ListParagraph"/>
        <w:spacing w:after="80"/>
        <w:ind w:left="425" w:hanging="425"/>
      </w:pPr>
      <w:r>
        <w:t>8. Объединить оценки эффекта возраста по нашим когортам и опубликованным сериям в метаанализе случайных эффектов и проверить, объясняют ли характеристики когорт различия между оценками.</w:t>
      </w:r>
    </w:p>
    <w:p>
      <w:pPr>
        <w:pStyle w:val="ListParagraph"/>
        <w:spacing w:after="80"/>
        <w:ind w:left="425" w:hanging="425"/>
      </w:pPr>
      <w:r>
        <w:t>9. Опубликовать код анализа, гармонизированные когорты и браузерную платформу, в которой другие исследователи могут проанализировать собственную когорту и сравнить её с этими, не передавая данные пациентов со своего компьютера.</w:t>
      </w:r>
    </w:p>
    <w:p>
      <w:pPr>
        <w:pStyle w:val="Heading3"/>
      </w:pPr>
      <w:r>
        <w:t>Гипотезы</w:t>
      </w:r>
    </w:p>
    <w:p>
      <w:pPr>
        <w:ind w:firstLine="567"/>
      </w:pPr>
      <w:r>
        <w:t>Основная: пациенты моложе медианного возраста группы живут дольше пожилых, и каждый дополнительный год возраста повышает риск смерти даже после поправки на пол, функциональный статус, статус MGMT и статус IDH. Гипотеза неверна, если скорректированный доверительный интервал отношения рисков включает 1.0. Дополнительная: внутриопухолевая гетерогенность выше у пожилых пациентов и объясняет часть эффекта возраста, так что отношение рисков для возраста снижается, когда в модель входит показатель гетерогенности. Эта гипотеза неверна, если показатели не коррелируют с возрастом, а оценка возраста не сдвигается.</w:t>
      </w:r>
    </w:p>
    <w:p>
      <w:pPr>
        <w:pStyle w:val="Heading3"/>
      </w:pPr>
      <w:r>
        <w:t>Новизна</w:t>
      </w:r>
    </w:p>
    <w:p>
      <w:pPr>
        <w:ind w:firstLine="567"/>
      </w:pPr>
      <w:r>
        <w:t>Связь возраста и выживаемости при глиобластоме не нова. Эта работа добавляет пять вещей. Она использует вложенные модели, которые отделяют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даёт отдельную оценку для опухолей IDH-дикого типа. Она повторяет весь анализ на независимой когорте и формально проверяет, согласуются ли две оценки, что большинство прогностических работ на TCGA пропускает. Она проверяет — насколько нам известно, впервые на этих данных, — объясняют ли объёмные меры внутриопухолевой гетерогенности эффект возраста. И она объединяет эффект возраста по 13 когортам, превращая расхождение двух когорт в распределение оценок с интервалом предсказания.</w:t>
      </w:r>
    </w:p>
    <w:p>
      <w:r>
        <w:br w:type="page"/>
      </w:r>
    </w:p>
    <w:p>
      <w:pPr>
        <w:pStyle w:val="Heading1"/>
      </w:pPr>
      <w:r>
        <w:t>2. Материалы и методы</w:t>
      </w:r>
    </w:p>
    <w:p>
      <w:pPr>
        <w:pStyle w:val="Heading2"/>
      </w:pPr>
      <w:r>
        <w:t>2.1. Источник данных</w:t>
      </w:r>
    </w:p>
    <w:p>
      <w:pPr>
        <w:ind w:firstLine="567"/>
      </w:pPr>
      <w:r>
        <w:t>Мы взяли данные из cBioPortal for Cancer Genomics [30, 31],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Данные не содержат сведений, позволяющих опознать пациента, и собраны в исследованиях с документированным информированным согласием в рамках программы TCGA [5].</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[36]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[37].</w:t>
      </w:r>
    </w:p>
    <w:p>
      <w:pPr>
        <w:pStyle w:val="Heading2"/>
      </w:pPr>
      <w:r>
        <w:t>2.5. Статистический анализ</w:t>
      </w:r>
    </w:p>
    <w:p>
      <w:pPr>
        <w:ind w:firstLine="567"/>
      </w:pPr>
      <w:r>
        <w:t>Кривые выживаемости мы строили методом Каплана — Мейера [33]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[34]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[38],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[39, 40].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 Так как M2 добавляет пол и KPS одновременно, мы дополнительно ввели эти две переменные по отдельности на тех же 439 пациентах, чтобы любое изменение оценки возраста можно было приписать одной из них (приложение А, таблица А5). У двух пациентов записан индекс Карновского 0, что по определению означает «умер на момент оценки» и не может быть дооперационным баллом; M2 мы приводим с ними и без них.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[41],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[32].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Показатели гетерогенности</w:t>
      </w:r>
    </w:p>
    <w:p>
      <w:pPr>
        <w:ind w:firstLine="567"/>
      </w:pPr>
      <w:r>
        <w:t>Внутриопухолевую гетерогенность каждой опухоли мы оценили двумя независимыми способами: по РНК и по ДНК. Оба используют данные, которые TCGA и CGGA уже содержат для тех же пациентов, так что новых образцов не потребовалось.</w:t>
      </w:r>
    </w:p>
    <w:p>
      <w:pPr>
        <w:ind w:firstLine="567"/>
      </w:pPr>
      <w:r>
        <w:t>Энтропия клеточных состояний строится на четырёх транскрипционных состояниях, которые Нефтель и соавторы нашли в одноклеточных данных, а затем оценили в 401 объёмной опухоли TCGA [20]. Мы взяли их опубликованные списки генов, объединив MES1 с MES2 и NPC1 с NPC2, что даёт четыре модуля по 95, 39, 50 и 89 генов для мезенхимоподобного, астроцитоподобного, олигодендроцитарно-предшественникового и нейрально-предшественникового состояний. Для TCGA мы использовали экспрессионный микрочип Agilent — ту же платформу, что оценивал Нефтель, — который покрывает 399 пациентов нашей когорты, и добавили ещё 38 по данным РНК-секвенирования; на 120 опухолях, измеренных на обеих платформах, две энтропии хорошо согласовались (ρ Спирмена = 0.88). Для CGGA мы использовали таблицы РНК-секвенирования двух партий, оценённые по отдельности. Внутри каждого набора данных каждый ген стандартизировали по опухолям, балл состояния был средним стандартизированных генов его модуля, а четыре балла состояний стандартизировали ещё раз по опухолям. Четыре балла мы превратили в относительные доли преобразованием softmax и вычислили энтропию Шеннона этих долей, разделив её на log 4, так что она идёт от 0, когда преобладает одно состояние, до 1, когда все четыре представлены поровну. Мы также записали доминирующее состояние каждой опухоли. Эта энтропия — оценка того, насколько состояния перемешаны в исследованном кусочке опухоли. Это не одноклеточное измерение, и мы считаем её суррогатом.</w:t>
      </w:r>
    </w:p>
    <w:p>
      <w:pPr>
        <w:ind w:firstLine="567"/>
      </w:pPr>
      <w:r>
        <w:t>Показатель MATH следует Мрозу и Рокко [19]. Из мутационных данных TCGA PanCancer Atlas, которые, в отличие от старых, содержат число прочтений, мы оставили однонуклеотидные варианты как минимум с 20 прочтениями и как минимум 3 вариантными прочтениями, вычислили аллельную частоту каждой мутации и определили MATH как 100, умноженное на медианное абсолютное отклонение частот, делённое на их медиану. У опухоли, все мутации которой сидят на похожих частотах, MATH низкий; у опухоли с субклонами на разных частотах — высокий. Мы требовали не меньше 10 пригодных мутаций и исключили гипермутированные опухоли с более чем 1 000, что оставило 375 пациентов нашей когорты. У медианной опухоли было 70 пригодных мутаций (межквартильный размах от 56 до 89). CGGA не публикует аллельные частоты, поэтому MATH рассчитан только для TCGA.</w:t>
      </w:r>
    </w:p>
    <w:p>
      <w:pPr>
        <w:ind w:firstLine="567"/>
      </w:pPr>
      <w:r>
        <w:t>Для каждого показателя мы проверили три вещи в порядке, заданном гипотезой. Во-первых, связь с возрастом: корреляция Спирмена, медианы по возрастным группам, используемым в остальной части работы, с критерием Краскела — Уоллиса, и медианный возраст по доминирующему состоянию. Во-вторых, связь с выживаемостью: модель Кокса с одним показателем, стандартизированным так, чтобы отношение рисков было на одно стандартное отклонение, и кривые Каплана — Мейера по терцилям с лог-ранговым критерием. В-третьих, меняет ли он оценку возраста: модель с одним возрастом, перестроенная на пациентах с этим показателем, затем возраст плюс показатель, затем возраст плюс показатель плюс пол, MGMT и IDH, а для энтропии — повтор на опухолях IDH-дикого типа. Всё это в heterogeneity.py.</w:t>
      </w:r>
    </w:p>
    <w:p>
      <w:pPr>
        <w:pStyle w:val="Heading2"/>
      </w:pPr>
      <w:r>
        <w:t>2.10. Дополнительные когорты и метаанализ эффекта возраста</w:t>
      </w:r>
    </w:p>
    <w:p>
      <w:pPr>
        <w:ind w:firstLine="567"/>
      </w:pPr>
      <w:r>
        <w:t>Две когорты мало что решают, когда расходятся. Чтобы увидеть эффект возраста как распределение по когортам, мы сделали две вещи. Мы добавили ещё две когорты с индивидуальными данными из cBioPortal, где для первичной глиобластомы записаны возраст и общая выживаемость: исследование глиом MSK-IMPACT [42], из которого мы оставили 485 пациентов с образцом глиобластомы 4-й степени по ВОЗ и положительным временем выживаемости, и когорту глиобластомы CPTAC-3 [43] — 96 пациентов с записанным витальным статусом, выживаемость которых мы вычислили по числу дней от диагноза до смерти или последнего контакта. Обе когорты были приведены к тем же полям, что TCGA и CGGA, и прогнаны через ту же модель Кокса с одним возрастом. Пациенты MSK-IMPACT должны были дожить до секвенирования опухоли, что удлиняет наблюдаемую выживаемость; мы вернёмся к этому в разделе 5. Мы также искали в литературе когорты, в которых для взрослых с глиобластомой приведено отношение рисков Кокса для возраста как непрерывной переменной. Этому условию отвечали и не пересекались с нашими когортами девять [44–52]. Десятая, из регистра CGGA [53], пересекается с нашей когортой CGGA и показана, но не объединена. Оценки, приведённые на десятилетие, пересчитаны на год в логарифмической шкале. В одном отчёте об исследовании напечатан интервал ±1 стандартная ошибка там, где ожидался бы 95 % интервал, поэтому мы использовали его стандартную ошибку напрямую [44]. В приложении Д перечислено каждое значение с источником.</w:t>
      </w:r>
    </w:p>
    <w:p>
      <w:pPr>
        <w:ind w:firstLine="567"/>
      </w:pPr>
      <w:r>
        <w:t>Логарифмы отношений рисков мы объединили моделью случайных эффектов ДерСимониана — Лэрда [54] и приводим объединённое отношение рисков с интервалом Вальда и с интервалом Хартунга — Кнаппа, который честнее при малом числе когорт [55]; межкогортное стандартное отклонение τ; статистику I², то есть долю разброса между оценками, которая не является ошибкой выборки [56]; и 95 % интервал предсказания — диапазон, в который, как ожидается, попадёт эффект возраста в новой похожей когорте [57]. Мы объединили четыре когорты с индивидуальными данными, девять опубликованных и все тринадцать вместе, повторили объединение, поочерёдно исключая каждую когорту, и объединили подгруппы: когорты только IDH-дикого типа против когорт без отбора, эпоха темозоломида против смешанной эпохи, скорректированные оценки против нескорректированных. Метарегрессия со смешанными эффектами проверила, объясняет ли медианный возраст когорты её оценку. Для четырёх когорт с индивидуальными данными мы также построили одну модель Кокса с возрастом, индикаторами когорт и их взаимодействиями и проверили взаимодействия критерием отношения правдоподобия. Всё это в meta_analysis.py.</w:t>
      </w:r>
    </w:p>
    <w:p>
      <w:pPr>
        <w:pStyle w:val="Heading2"/>
      </w:pPr>
      <w:r>
        <w:t>2.11. Практическая часть: открытая платформа для когорт</w:t>
      </w:r>
    </w:p>
    <w:p>
      <w:pPr>
        <w:ind w:firstLine="567"/>
      </w:pPr>
      <w:r>
        <w:t>Первая версия этого проекта опубликовала подобранные модели в виде калькулятора, который возвращал кривую выживаемости для одного набора характеристик пациента. Мы его убрали. Инструмент, который берёт данные одного человека и возвращает срок выживаемости, читается как прогноз, что бы ни говорила его оговорка; программное обеспечение, предназначенное для прогноза, подпадает под определение медицинского изделия в регламенте ЕС и в согласованном с ним сербском законе; а одно число вроде медианы 13 месяцев, показанное человеку без контекста, причиняет вред. Групповые результаты — другое дело. Именно их приводит эта работа, и именно они нужны для обучения и исследований.</w:t>
      </w:r>
    </w:p>
    <w:p>
      <w:pPr>
        <w:ind w:firstLine="567"/>
      </w:pPr>
      <w:r>
        <w:t>Замена — веб-приложение plateau, названное по плоскому «хвосту» кривой выживаемости, где находятся долгожители; оно размещено из репозитория проекта на GitHub Pages на английском и русском. Раздел «Обзор» показывает кривые Каплана — Мейера по возрастным группам с доверительными полосами для каждой из четырёх когорт с индивидуальными данными, вместе с форест-графиком метаанализа. Он никогда не рисует группу меньше чем из 10 пациентов. Раздел «Анализ» предназначен для студентов и исследователей, у которых есть собственная когорта. Пользователь загружает таблицу, сопоставляет её столбцы со стандартным списком полей, а приложение проверяет файл, предупреждает о столбцах, похожих на имена, даты или идентификаторы, переводит время выживаемости в месяцы и затем выполняет те же анализы, что и эта работа: кривые Каплана — Мейера, лог-ранговый критерий, вложенные модели Кокса, критерий Шёнфельда и готовый абзац для раздела «Методы». Затем оно помещает отношение рисков для возраста в когорте пользователя на форест-график рядом с четырьмя референсными когортами и объединяет их. Всё выполняется в браузере. Ни одна строка с данными пациента не передаётся. Пользователь по желанию может поделиться сводкой своей когорты, которая содержит только численности, медианы и коэффициенты моделей, с удалёнными численностями возрастных групп меньше 10; модератор проверяет её, прежде чем она попадёт в общий пул, после чего объединённая оценка обновляется для всех. Вокруг инструментов работают два сообщества с общим входом, которые разделены правилами доступа базы данных: исследовательское пространство с досками обсуждения по наборам данных и методам и каталогом исследователей, и семейное пространство для пациентов, тех, кто за ними ухаживает, и родственников, посты которого могут читать только другие члены семей, со списком проверенных организаций поддержки. Каждый новый пост в любом из пространств читает модератор, прежде чем он появится, а в семейном пространстве медицинские советы не допускаются.</w:t>
      </w:r>
    </w:p>
    <w:p>
      <w:pPr>
        <w:ind w:firstLine="567"/>
      </w:pPr>
      <w:r>
        <w:t>Статистика внутри платформы — наша собственная реализация на JavaScript, потому что отправлять данные на сервер было недопустимо. Мы сверили её с lifelines на всех четырёх референсных когортах: 51 автоматический тест требует совпадения коэффициентов Кокса и стандартных ошибок до 0.001, оценок Каплана — Мейера до 0.001, лог-ранговых статистик до 1 % и p-значений критерия Шёнфельда до 0.02. На практике коэффициенты совпадают примерно до 10⁻⁵. Симуляция 200 когорт с известным отношением рисков 1.030 на год дала среднюю оценку 1.030 и 94 % покрытие истинного значения. Автоматический браузерный тест загружает намеренно неаккуратный демонстрационный файл, проходит все шаги и подтверждает, что ни один сетевой запрос не покидает страницу.</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750"/>
        <w:gridCol w:w="3320"/>
      </w:tblGrid>
      <w:tr>
        <w:trPr>
          <w:cantSplit w:val="true"/>
          <w:tblHeader w:val="true"/>
        </w:trPr>
        <w:tc>
          <w:tcPr>
            <w:tcW w:type="dxa" w:w="5751"/>
            <w:shd w:val="clear" w:fill="E7EEF6"/>
          </w:tcPr>
          <w:p>
            <w:pPr>
              <w:keepNext/>
              <w:spacing w:after="0" w:line="240" w:lineRule="auto"/>
              <w:ind w:firstLine="0"/>
              <w:jc w:val="left"/>
            </w:pPr>
            <w:r/>
            <w:r>
              <w:rPr>
                <w:b/>
                <w:sz w:val="20"/>
              </w:rPr>
              <w:t>Показатель</w:t>
            </w:r>
          </w:p>
        </w:tc>
        <w:tc>
          <w:tcPr>
            <w:tcW w:type="dxa" w:w="3320"/>
            <w:shd w:val="clear" w:fill="E7EEF6"/>
          </w:tcPr>
          <w:p>
            <w:pPr>
              <w:keepNext/>
              <w:spacing w:after="0" w:line="240" w:lineRule="auto"/>
              <w:ind w:firstLine="0"/>
              <w:jc w:val="left"/>
            </w:pPr>
            <w:r/>
            <w:r>
              <w:rPr>
                <w:b/>
                <w:sz w:val="20"/>
              </w:rPr>
              <w:t>Значение</w:t>
            </w:r>
          </w:p>
        </w:tc>
      </w:tr>
      <w:tr>
        <w:trPr>
          <w:cantSplit w:val="true"/>
        </w:trPr>
        <w:tc>
          <w:tcPr>
            <w:tcW w:type="dxa" w:w="5751"/>
          </w:tcPr>
          <w:p>
            <w:pPr>
              <w:keepNext/>
              <w:spacing w:after="0" w:line="240" w:lineRule="auto"/>
              <w:ind w:firstLine="0"/>
              <w:jc w:val="left"/>
            </w:pPr>
            <w:r/>
            <w:r>
              <w:rPr>
                <w:sz w:val="20"/>
              </w:rPr>
              <w:t>Пациенты, n</w:t>
            </w:r>
          </w:p>
        </w:tc>
        <w:tc>
          <w:tcPr>
            <w:tcW w:type="dxa" w:w="3320"/>
          </w:tcPr>
          <w:p>
            <w:pPr>
              <w:keepNext/>
              <w:spacing w:after="0" w:line="240" w:lineRule="auto"/>
              <w:ind w:firstLine="0"/>
              <w:jc w:val="left"/>
            </w:pPr>
            <w:r/>
            <w:r>
              <w:rPr>
                <w:sz w:val="20"/>
              </w:rPr>
              <w:t>593</w:t>
            </w:r>
          </w:p>
        </w:tc>
      </w:tr>
      <w:tr>
        <w:trPr>
          <w:cantSplit w:val="true"/>
        </w:trPr>
        <w:tc>
          <w:tcPr>
            <w:tcW w:type="dxa" w:w="5751"/>
          </w:tcPr>
          <w:p>
            <w:pPr>
              <w:keepNext/>
              <w:spacing w:after="0" w:line="240" w:lineRule="auto"/>
              <w:ind w:firstLine="0"/>
              <w:jc w:val="left"/>
            </w:pPr>
            <w:r/>
            <w:r>
              <w:rPr>
                <w:sz w:val="20"/>
              </w:rPr>
              <w:t>Мужчины / женщины, n (%)</w:t>
            </w:r>
          </w:p>
        </w:tc>
        <w:tc>
          <w:tcPr>
            <w:tcW w:type="dxa" w:w="3320"/>
          </w:tcPr>
          <w:p>
            <w:pPr>
              <w:keepNext/>
              <w:spacing w:after="0" w:line="240" w:lineRule="auto"/>
              <w:ind w:firstLine="0"/>
              <w:jc w:val="left"/>
            </w:pPr>
            <w:r/>
            <w:r>
              <w:rPr>
                <w:sz w:val="20"/>
              </w:rPr>
              <w:t>363 (61.2) / 230 (38.8)</w:t>
            </w:r>
          </w:p>
        </w:tc>
      </w:tr>
      <w:tr>
        <w:trPr>
          <w:cantSplit w:val="true"/>
        </w:trPr>
        <w:tc>
          <w:tcPr>
            <w:tcW w:type="dxa" w:w="575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320"/>
          </w:tcPr>
          <w:p>
            <w:pPr>
              <w:keepNext/>
              <w:spacing w:after="0" w:line="240" w:lineRule="auto"/>
              <w:ind w:firstLine="0"/>
              <w:jc w:val="left"/>
            </w:pPr>
            <w:r/>
            <w:r>
              <w:rPr>
                <w:sz w:val="20"/>
              </w:rPr>
              <w:t>59.0 (50–68); 10–89</w:t>
            </w:r>
          </w:p>
        </w:tc>
      </w:tr>
      <w:tr>
        <w:trPr>
          <w:cantSplit w:val="true"/>
        </w:trPr>
        <w:tc>
          <w:tcPr>
            <w:tcW w:type="dxa" w:w="5751"/>
          </w:tcPr>
          <w:p>
            <w:pPr>
              <w:keepNext/>
              <w:spacing w:after="0" w:line="240" w:lineRule="auto"/>
              <w:ind w:firstLine="0"/>
              <w:jc w:val="left"/>
            </w:pPr>
            <w:r/>
            <w:r>
              <w:rPr>
                <w:sz w:val="20"/>
              </w:rPr>
              <w:t>Умерли / живы на момент последнего контакта, n (%)</w:t>
            </w:r>
          </w:p>
        </w:tc>
        <w:tc>
          <w:tcPr>
            <w:tcW w:type="dxa" w:w="3320"/>
          </w:tcPr>
          <w:p>
            <w:pPr>
              <w:keepNext/>
              <w:spacing w:after="0" w:line="240" w:lineRule="auto"/>
              <w:ind w:firstLine="0"/>
              <w:jc w:val="left"/>
            </w:pPr>
            <w:r/>
            <w:r>
              <w:rPr>
                <w:sz w:val="20"/>
              </w:rPr>
              <w:t>492 (83.0) / 101 (17.0)</w:t>
            </w:r>
          </w:p>
        </w:tc>
      </w:tr>
      <w:tr>
        <w:trPr>
          <w:cantSplit w:val="true"/>
        </w:trPr>
        <w:tc>
          <w:tcPr>
            <w:tcW w:type="dxa" w:w="5751"/>
          </w:tcPr>
          <w:p>
            <w:pPr>
              <w:keepNext/>
              <w:spacing w:after="0" w:line="240" w:lineRule="auto"/>
              <w:ind w:firstLine="0"/>
              <w:jc w:val="left"/>
            </w:pPr>
            <w:r/>
            <w:r>
              <w:rPr>
                <w:sz w:val="20"/>
              </w:rPr>
              <w:t>Медиана времени наблюдения (обратный Каплан — Мейер), мес.</w:t>
            </w:r>
          </w:p>
        </w:tc>
        <w:tc>
          <w:tcPr>
            <w:tcW w:type="dxa" w:w="3320"/>
          </w:tcPr>
          <w:p>
            <w:pPr>
              <w:keepNext/>
              <w:spacing w:after="0" w:line="240" w:lineRule="auto"/>
              <w:ind w:firstLine="0"/>
              <w:jc w:val="left"/>
            </w:pPr>
            <w:r/>
            <w:r>
              <w:rPr>
                <w:sz w:val="20"/>
              </w:rPr>
              <w:t>73.8</w:t>
            </w:r>
          </w:p>
        </w:tc>
      </w:tr>
      <w:tr>
        <w:trPr>
          <w:cantSplit w:val="true"/>
        </w:trPr>
        <w:tc>
          <w:tcPr>
            <w:tcW w:type="dxa" w:w="5751"/>
          </w:tcPr>
          <w:p>
            <w:pPr>
              <w:keepNext/>
              <w:spacing w:after="0" w:line="240" w:lineRule="auto"/>
              <w:ind w:firstLine="0"/>
              <w:jc w:val="left"/>
            </w:pPr>
            <w:r/>
            <w:r>
              <w:rPr>
                <w:sz w:val="20"/>
              </w:rPr>
              <w:t>Медиана общей выживаемости, мес.</w:t>
            </w:r>
          </w:p>
        </w:tc>
        <w:tc>
          <w:tcPr>
            <w:tcW w:type="dxa" w:w="3320"/>
          </w:tcPr>
          <w:p>
            <w:pPr>
              <w:keepNext/>
              <w:spacing w:after="0" w:line="240" w:lineRule="auto"/>
              <w:ind w:firstLine="0"/>
              <w:jc w:val="left"/>
            </w:pPr>
            <w:r/>
            <w:r>
              <w:rPr>
                <w:sz w:val="20"/>
              </w:rPr>
              <w:t>14.0</w:t>
            </w:r>
          </w:p>
        </w:tc>
      </w:tr>
      <w:tr>
        <w:trPr>
          <w:cantSplit w:val="true"/>
        </w:trPr>
        <w:tc>
          <w:tcPr>
            <w:tcW w:type="dxa" w:w="5751"/>
          </w:tcPr>
          <w:p>
            <w:pPr>
              <w:keepNext/>
              <w:spacing w:after="0" w:line="240" w:lineRule="auto"/>
              <w:ind w:firstLine="0"/>
              <w:jc w:val="left"/>
            </w:pPr>
            <w:r/>
            <w:r>
              <w:rPr>
                <w:sz w:val="20"/>
              </w:rPr>
              <w:t>Живы через 1 / 2 / 5 лет, %</w:t>
            </w:r>
          </w:p>
        </w:tc>
        <w:tc>
          <w:tcPr>
            <w:tcW w:type="dxa" w:w="3320"/>
          </w:tcPr>
          <w:p>
            <w:pPr>
              <w:keepNext/>
              <w:spacing w:after="0" w:line="240" w:lineRule="auto"/>
              <w:ind w:firstLine="0"/>
              <w:jc w:val="left"/>
            </w:pPr>
            <w:r/>
            <w:r>
              <w:rPr>
                <w:sz w:val="20"/>
              </w:rPr>
              <w:t>58.1 / 23.2 / 6.0</w:t>
            </w:r>
          </w:p>
        </w:tc>
      </w:tr>
      <w:tr>
        <w:trPr>
          <w:cantSplit w:val="true"/>
        </w:trPr>
        <w:tc>
          <w:tcPr>
            <w:tcW w:type="dxa" w:w="5751"/>
          </w:tcPr>
          <w:p>
            <w:pPr>
              <w:keepNext/>
              <w:spacing w:after="0" w:line="240" w:lineRule="auto"/>
              <w:ind w:firstLine="0"/>
              <w:jc w:val="left"/>
            </w:pPr>
            <w:r/>
            <w:r>
              <w:rPr>
                <w:sz w:val="20"/>
              </w:rPr>
              <w:t>KPS известен, n; медиана (средняя половина)</w:t>
            </w:r>
          </w:p>
        </w:tc>
        <w:tc>
          <w:tcPr>
            <w:tcW w:type="dxa" w:w="3320"/>
          </w:tcPr>
          <w:p>
            <w:pPr>
              <w:keepNext/>
              <w:spacing w:after="0" w:line="240" w:lineRule="auto"/>
              <w:ind w:firstLine="0"/>
              <w:jc w:val="left"/>
            </w:pPr>
            <w:r/>
            <w:r>
              <w:rPr>
                <w:sz w:val="20"/>
              </w:rPr>
              <w:t>439; 80 (70–80)</w:t>
            </w:r>
          </w:p>
        </w:tc>
      </w:tr>
      <w:tr>
        <w:trPr>
          <w:cantSplit w:val="true"/>
        </w:trPr>
        <w:tc>
          <w:tcPr>
            <w:tcW w:type="dxa" w:w="5751"/>
          </w:tcPr>
          <w:p>
            <w:pPr>
              <w:keepNext/>
              <w:spacing w:after="0" w:line="240" w:lineRule="auto"/>
              <w:ind w:firstLine="0"/>
              <w:jc w:val="left"/>
            </w:pPr>
            <w:r/>
            <w:r>
              <w:rPr>
                <w:sz w:val="20"/>
              </w:rPr>
              <w:t>Статус MGMT известен, n; метилирован, n (%)</w:t>
            </w:r>
          </w:p>
        </w:tc>
        <w:tc>
          <w:tcPr>
            <w:tcW w:type="dxa" w:w="3320"/>
          </w:tcPr>
          <w:p>
            <w:pPr>
              <w:keepNext/>
              <w:spacing w:after="0" w:line="240" w:lineRule="auto"/>
              <w:ind w:firstLine="0"/>
              <w:jc w:val="left"/>
            </w:pPr>
            <w:r/>
            <w:r>
              <w:rPr>
                <w:sz w:val="20"/>
              </w:rPr>
              <w:t>413; 156 (37.8)</w:t>
            </w:r>
          </w:p>
        </w:tc>
      </w:tr>
      <w:tr>
        <w:trPr>
          <w:cantSplit w:val="true"/>
        </w:trPr>
        <w:tc>
          <w:tcPr>
            <w:tcW w:type="dxa" w:w="5751"/>
          </w:tcPr>
          <w:p>
            <w:pPr>
              <w:keepNext/>
              <w:spacing w:after="0" w:line="240" w:lineRule="auto"/>
              <w:ind w:firstLine="0"/>
              <w:jc w:val="left"/>
            </w:pPr>
            <w:r/>
            <w:r>
              <w:rPr>
                <w:sz w:val="20"/>
              </w:rPr>
              <w:t>Статус IDH известен, n; мутантный, n (%)</w:t>
            </w:r>
          </w:p>
        </w:tc>
        <w:tc>
          <w:tcPr>
            <w:tcW w:type="dxa" w:w="3320"/>
          </w:tcPr>
          <w:p>
            <w:pPr>
              <w:keepNext/>
              <w:spacing w:after="0" w:line="240" w:lineRule="auto"/>
              <w:ind w:firstLine="0"/>
              <w:jc w:val="left"/>
            </w:pPr>
            <w:r/>
            <w:r>
              <w:rPr>
                <w:sz w:val="20"/>
              </w:rPr>
              <w:t>285; 15 (5.3)</w:t>
            </w:r>
          </w:p>
        </w:tc>
      </w:tr>
      <w:tr>
        <w:trPr>
          <w:cantSplit w:val="true"/>
        </w:trPr>
        <w:tc>
          <w:tcPr>
            <w:tcW w:type="dxa" w:w="5751"/>
          </w:tcPr>
          <w:p>
            <w:pPr>
              <w:spacing w:after="0" w:line="240" w:lineRule="auto"/>
              <w:ind w:firstLine="0"/>
              <w:jc w:val="left"/>
            </w:pPr>
            <w:r/>
            <w:r>
              <w:rPr>
                <w:sz w:val="20"/>
              </w:rPr>
              <w:t>Известны все пять переменных, n</w:t>
            </w:r>
          </w:p>
        </w:tc>
        <w:tc>
          <w:tcPr>
            <w:tcW w:type="dxa" w:w="332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4"/>
        <w:gridCol w:w="783"/>
        <w:gridCol w:w="1036"/>
        <w:gridCol w:w="1997"/>
        <w:gridCol w:w="1707"/>
        <w:gridCol w:w="1751"/>
      </w:tblGrid>
      <w:tr>
        <w:trPr>
          <w:cantSplit w:val="true"/>
          <w:tblHeader w:val="true"/>
        </w:trPr>
        <w:tc>
          <w:tcPr>
            <w:tcW w:type="dxa" w:w="1795"/>
            <w:shd w:val="clear" w:fill="E7EEF6"/>
          </w:tcPr>
          <w:p>
            <w:pPr>
              <w:keepNext/>
              <w:spacing w:after="0" w:line="240" w:lineRule="auto"/>
              <w:ind w:firstLine="0"/>
              <w:jc w:val="left"/>
            </w:pPr>
            <w:r/>
            <w:r>
              <w:rPr>
                <w:b/>
                <w:sz w:val="20"/>
              </w:rPr>
              <w:t>Группа</w:t>
            </w:r>
          </w:p>
        </w:tc>
        <w:tc>
          <w:tcPr>
            <w:tcW w:type="dxa" w:w="783"/>
            <w:shd w:val="clear" w:fill="E7EEF6"/>
          </w:tcPr>
          <w:p>
            <w:pPr>
              <w:keepNext/>
              <w:spacing w:after="0" w:line="240" w:lineRule="auto"/>
              <w:ind w:firstLine="0"/>
              <w:jc w:val="left"/>
            </w:pPr>
            <w:r/>
            <w:r>
              <w:rPr>
                <w:b/>
                <w:sz w:val="20"/>
              </w:rPr>
              <w:t>n</w:t>
            </w:r>
          </w:p>
        </w:tc>
        <w:tc>
          <w:tcPr>
            <w:tcW w:type="dxa" w:w="1036"/>
            <w:shd w:val="clear" w:fill="E7EEF6"/>
          </w:tcPr>
          <w:p>
            <w:pPr>
              <w:keepNext/>
              <w:spacing w:after="0" w:line="240" w:lineRule="auto"/>
              <w:ind w:firstLine="0"/>
              <w:jc w:val="left"/>
            </w:pPr>
            <w:r/>
            <w:r>
              <w:rPr>
                <w:b/>
                <w:sz w:val="20"/>
              </w:rPr>
              <w:t>Смертей</w:t>
            </w:r>
          </w:p>
        </w:tc>
        <w:tc>
          <w:tcPr>
            <w:tcW w:type="dxa" w:w="1997"/>
            <w:shd w:val="clear" w:fill="E7EEF6"/>
          </w:tcPr>
          <w:p>
            <w:pPr>
              <w:keepNext/>
              <w:spacing w:after="0" w:line="240" w:lineRule="auto"/>
              <w:ind w:firstLine="0"/>
              <w:jc w:val="left"/>
            </w:pPr>
            <w:r/>
            <w:r>
              <w:rPr>
                <w:b/>
                <w:sz w:val="20"/>
              </w:rPr>
              <w:t>Медиана выживаемости, мес.</w:t>
            </w:r>
          </w:p>
        </w:tc>
        <w:tc>
          <w:tcPr>
            <w:tcW w:type="dxa" w:w="1707"/>
            <w:shd w:val="clear" w:fill="E7EEF6"/>
          </w:tcPr>
          <w:p>
            <w:pPr>
              <w:keepNext/>
              <w:spacing w:after="0" w:line="240" w:lineRule="auto"/>
              <w:ind w:firstLine="0"/>
              <w:jc w:val="left"/>
            </w:pPr>
            <w:r/>
            <w:r>
              <w:rPr>
                <w:b/>
                <w:sz w:val="20"/>
              </w:rPr>
              <w:t>Живы через 1 год, %</w:t>
            </w:r>
          </w:p>
        </w:tc>
        <w:tc>
          <w:tcPr>
            <w:tcW w:type="dxa" w:w="1752"/>
            <w:shd w:val="clear" w:fill="E7EEF6"/>
          </w:tcPr>
          <w:p>
            <w:pPr>
              <w:keepNext/>
              <w:spacing w:after="0" w:line="240" w:lineRule="auto"/>
              <w:ind w:firstLine="0"/>
              <w:jc w:val="left"/>
            </w:pPr>
            <w:r/>
            <w:r>
              <w:rPr>
                <w:b/>
                <w:sz w:val="20"/>
              </w:rPr>
              <w:t>Живы через 2 года, %</w:t>
            </w:r>
          </w:p>
        </w:tc>
      </w:tr>
      <w:tr>
        <w:trPr>
          <w:cantSplit w:val="true"/>
        </w:trPr>
        <w:tc>
          <w:tcPr>
            <w:tcW w:type="dxa" w:w="1795"/>
          </w:tcPr>
          <w:p>
            <w:pPr>
              <w:keepNext/>
              <w:spacing w:after="0" w:line="240" w:lineRule="auto"/>
              <w:ind w:firstLine="0"/>
              <w:jc w:val="left"/>
            </w:pPr>
            <w:r/>
            <w:r>
              <w:rPr>
                <w:sz w:val="20"/>
              </w:rPr>
              <w:t>Младшая (&lt; 59 лет)</w:t>
            </w:r>
          </w:p>
        </w:tc>
        <w:tc>
          <w:tcPr>
            <w:tcW w:type="dxa" w:w="783"/>
          </w:tcPr>
          <w:p>
            <w:pPr>
              <w:keepNext/>
              <w:spacing w:after="0" w:line="240" w:lineRule="auto"/>
              <w:ind w:firstLine="0"/>
              <w:jc w:val="left"/>
            </w:pPr>
            <w:r/>
            <w:r>
              <w:rPr>
                <w:sz w:val="20"/>
              </w:rPr>
              <w:t>288</w:t>
            </w:r>
          </w:p>
        </w:tc>
        <w:tc>
          <w:tcPr>
            <w:tcW w:type="dxa" w:w="1036"/>
          </w:tcPr>
          <w:p>
            <w:pPr>
              <w:keepNext/>
              <w:spacing w:after="0" w:line="240" w:lineRule="auto"/>
              <w:ind w:firstLine="0"/>
              <w:jc w:val="left"/>
            </w:pPr>
            <w:r/>
            <w:r>
              <w:rPr>
                <w:sz w:val="20"/>
              </w:rPr>
              <w:t>233</w:t>
            </w:r>
          </w:p>
        </w:tc>
        <w:tc>
          <w:tcPr>
            <w:tcW w:type="dxa" w:w="1997"/>
          </w:tcPr>
          <w:p>
            <w:pPr>
              <w:keepNext/>
              <w:spacing w:after="0" w:line="240" w:lineRule="auto"/>
              <w:ind w:firstLine="0"/>
              <w:jc w:val="left"/>
            </w:pPr>
            <w:r/>
            <w:r>
              <w:rPr>
                <w:sz w:val="20"/>
              </w:rPr>
              <w:t>17.7</w:t>
            </w:r>
          </w:p>
        </w:tc>
        <w:tc>
          <w:tcPr>
            <w:tcW w:type="dxa" w:w="1707"/>
          </w:tcPr>
          <w:p>
            <w:pPr>
              <w:keepNext/>
              <w:spacing w:after="0" w:line="240" w:lineRule="auto"/>
              <w:ind w:firstLine="0"/>
              <w:jc w:val="left"/>
            </w:pPr>
            <w:r/>
            <w:r>
              <w:rPr>
                <w:sz w:val="20"/>
              </w:rPr>
              <w:t>70.2</w:t>
            </w:r>
          </w:p>
        </w:tc>
        <w:tc>
          <w:tcPr>
            <w:tcW w:type="dxa" w:w="1752"/>
          </w:tcPr>
          <w:p>
            <w:pPr>
              <w:keepNext/>
              <w:spacing w:after="0" w:line="240" w:lineRule="auto"/>
              <w:ind w:firstLine="0"/>
              <w:jc w:val="left"/>
            </w:pPr>
            <w:r/>
            <w:r>
              <w:rPr>
                <w:sz w:val="20"/>
              </w:rPr>
              <w:t>32.6</w:t>
            </w:r>
          </w:p>
        </w:tc>
      </w:tr>
      <w:tr>
        <w:trPr>
          <w:cantSplit w:val="true"/>
        </w:trPr>
        <w:tc>
          <w:tcPr>
            <w:tcW w:type="dxa" w:w="1795"/>
          </w:tcPr>
          <w:p>
            <w:pPr>
              <w:keepNext/>
              <w:spacing w:after="0" w:line="240" w:lineRule="auto"/>
              <w:ind w:firstLine="0"/>
              <w:jc w:val="left"/>
            </w:pPr>
            <w:r/>
            <w:r>
              <w:rPr>
                <w:sz w:val="20"/>
              </w:rPr>
              <w:t>Старшая (≥ 59 лет)</w:t>
            </w:r>
          </w:p>
        </w:tc>
        <w:tc>
          <w:tcPr>
            <w:tcW w:type="dxa" w:w="783"/>
          </w:tcPr>
          <w:p>
            <w:pPr>
              <w:keepNext/>
              <w:spacing w:after="0" w:line="240" w:lineRule="auto"/>
              <w:ind w:firstLine="0"/>
              <w:jc w:val="left"/>
            </w:pPr>
            <w:r/>
            <w:r>
              <w:rPr>
                <w:sz w:val="20"/>
              </w:rPr>
              <w:t>305</w:t>
            </w:r>
          </w:p>
        </w:tc>
        <w:tc>
          <w:tcPr>
            <w:tcW w:type="dxa" w:w="1036"/>
          </w:tcPr>
          <w:p>
            <w:pPr>
              <w:keepNext/>
              <w:spacing w:after="0" w:line="240" w:lineRule="auto"/>
              <w:ind w:firstLine="0"/>
              <w:jc w:val="left"/>
            </w:pPr>
            <w:r/>
            <w:r>
              <w:rPr>
                <w:sz w:val="20"/>
              </w:rPr>
              <w:t>259</w:t>
            </w:r>
          </w:p>
        </w:tc>
        <w:tc>
          <w:tcPr>
            <w:tcW w:type="dxa" w:w="1997"/>
          </w:tcPr>
          <w:p>
            <w:pPr>
              <w:keepNext/>
              <w:spacing w:after="0" w:line="240" w:lineRule="auto"/>
              <w:ind w:firstLine="0"/>
              <w:jc w:val="left"/>
            </w:pPr>
            <w:r/>
            <w:r>
              <w:rPr>
                <w:sz w:val="20"/>
              </w:rPr>
              <w:t>10.7</w:t>
            </w:r>
          </w:p>
        </w:tc>
        <w:tc>
          <w:tcPr>
            <w:tcW w:type="dxa" w:w="1707"/>
          </w:tcPr>
          <w:p>
            <w:pPr>
              <w:keepNext/>
              <w:spacing w:after="0" w:line="240" w:lineRule="auto"/>
              <w:ind w:firstLine="0"/>
              <w:jc w:val="left"/>
            </w:pPr>
            <w:r/>
            <w:r>
              <w:rPr>
                <w:sz w:val="20"/>
              </w:rPr>
              <w:t>46.3</w:t>
            </w:r>
          </w:p>
        </w:tc>
        <w:tc>
          <w:tcPr>
            <w:tcW w:type="dxa" w:w="1752"/>
          </w:tcPr>
          <w:p>
            <w:pPr>
              <w:keepNext/>
              <w:spacing w:after="0" w:line="240" w:lineRule="auto"/>
              <w:ind w:firstLine="0"/>
              <w:jc w:val="left"/>
            </w:pPr>
            <w:r/>
            <w:r>
              <w:rPr>
                <w:sz w:val="20"/>
              </w:rPr>
              <w:t>13.9</w:t>
            </w:r>
          </w:p>
        </w:tc>
      </w:tr>
      <w:tr>
        <w:trPr>
          <w:cantSplit w:val="true"/>
        </w:trPr>
        <w:tc>
          <w:tcPr>
            <w:tcW w:type="dxa" w:w="1795"/>
          </w:tcPr>
          <w:p>
            <w:pPr>
              <w:spacing w:after="0" w:line="240" w:lineRule="auto"/>
              <w:ind w:firstLine="0"/>
              <w:jc w:val="left"/>
            </w:pPr>
            <w:r/>
            <w:r>
              <w:rPr>
                <w:sz w:val="20"/>
              </w:rPr>
              <w:t>Лог-ранговый критерий</w:t>
            </w:r>
          </w:p>
        </w:tc>
        <w:tc>
          <w:tcPr>
            <w:tcW w:type="dxa" w:w="783"/>
          </w:tcPr>
          <w:p>
            <w:pPr>
              <w:spacing w:after="0" w:line="240" w:lineRule="auto"/>
              <w:ind w:firstLine="0"/>
              <w:jc w:val="left"/>
            </w:pPr>
            <w:r/>
            <w:r>
              <w:rPr>
                <w:sz w:val="20"/>
              </w:rPr>
            </w:r>
          </w:p>
        </w:tc>
        <w:tc>
          <w:tcPr>
            <w:tcW w:type="dxa" w:w="1036"/>
          </w:tcPr>
          <w:p>
            <w:pPr>
              <w:spacing w:after="0" w:line="240" w:lineRule="auto"/>
              <w:ind w:firstLine="0"/>
              <w:jc w:val="left"/>
            </w:pPr>
            <w:r/>
            <w:r>
              <w:rPr>
                <w:sz w:val="20"/>
              </w:rPr>
            </w:r>
          </w:p>
        </w:tc>
        <w:tc>
          <w:tcPr>
            <w:tcW w:type="dxa" w:w="1997"/>
          </w:tcPr>
          <w:p>
            <w:pPr>
              <w:spacing w:after="0" w:line="240" w:lineRule="auto"/>
              <w:ind w:firstLine="0"/>
              <w:jc w:val="left"/>
            </w:pPr>
            <w:r/>
            <w:r>
              <w:rPr>
                <w:sz w:val="20"/>
              </w:rPr>
              <w:t>χ² = 53.5, p = 2.5 × 10⁻¹³</w:t>
            </w:r>
          </w:p>
        </w:tc>
        <w:tc>
          <w:tcPr>
            <w:tcW w:type="dxa" w:w="1707"/>
          </w:tcPr>
          <w:p>
            <w:pPr>
              <w:spacing w:after="0" w:line="240" w:lineRule="auto"/>
              <w:ind w:firstLine="0"/>
              <w:jc w:val="left"/>
            </w:pPr>
            <w:r/>
            <w:r>
              <w:rPr>
                <w:sz w:val="20"/>
              </w:rPr>
            </w:r>
          </w:p>
        </w:tc>
        <w:tc>
          <w:tcPr>
            <w:tcW w:type="dxa" w:w="175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52"/>
        <w:gridCol w:w="1134"/>
        <w:gridCol w:w="655"/>
        <w:gridCol w:w="866"/>
        <w:gridCol w:w="1669"/>
        <w:gridCol w:w="1427"/>
        <w:gridCol w:w="1464"/>
      </w:tblGrid>
      <w:tr>
        <w:trPr>
          <w:cantSplit w:val="true"/>
          <w:tblHeader w:val="true"/>
        </w:trPr>
        <w:tc>
          <w:tcPr>
            <w:tcW w:type="dxa" w:w="1853"/>
            <w:shd w:val="clear" w:fill="E7EEF6"/>
          </w:tcPr>
          <w:p>
            <w:pPr>
              <w:keepNext/>
              <w:spacing w:after="0" w:line="240" w:lineRule="auto"/>
              <w:ind w:firstLine="0"/>
              <w:jc w:val="left"/>
            </w:pPr>
            <w:r/>
            <w:r>
              <w:rPr>
                <w:b/>
                <w:sz w:val="20"/>
              </w:rPr>
              <w:t>Квартиль</w:t>
            </w:r>
          </w:p>
        </w:tc>
        <w:tc>
          <w:tcPr>
            <w:tcW w:type="dxa" w:w="1135"/>
            <w:shd w:val="clear" w:fill="E7EEF6"/>
          </w:tcPr>
          <w:p>
            <w:pPr>
              <w:keepNext/>
              <w:spacing w:after="0" w:line="240" w:lineRule="auto"/>
              <w:ind w:firstLine="0"/>
              <w:jc w:val="left"/>
            </w:pPr>
            <w:r/>
            <w:r>
              <w:rPr>
                <w:b/>
                <w:sz w:val="20"/>
              </w:rPr>
              <w:t>Возраст, лет</w:t>
            </w:r>
          </w:p>
        </w:tc>
        <w:tc>
          <w:tcPr>
            <w:tcW w:type="dxa" w:w="655"/>
            <w:shd w:val="clear" w:fill="E7EEF6"/>
          </w:tcPr>
          <w:p>
            <w:pPr>
              <w:keepNext/>
              <w:spacing w:after="0" w:line="240" w:lineRule="auto"/>
              <w:ind w:firstLine="0"/>
              <w:jc w:val="left"/>
            </w:pPr>
            <w:r/>
            <w:r>
              <w:rPr>
                <w:b/>
                <w:sz w:val="20"/>
              </w:rPr>
              <w:t>n</w:t>
            </w:r>
          </w:p>
        </w:tc>
        <w:tc>
          <w:tcPr>
            <w:tcW w:type="dxa" w:w="866"/>
            <w:shd w:val="clear" w:fill="E7EEF6"/>
          </w:tcPr>
          <w:p>
            <w:pPr>
              <w:keepNext/>
              <w:spacing w:after="0" w:line="240" w:lineRule="auto"/>
              <w:ind w:firstLine="0"/>
              <w:jc w:val="left"/>
            </w:pPr>
            <w:r/>
            <w:r>
              <w:rPr>
                <w:b/>
                <w:sz w:val="20"/>
              </w:rPr>
              <w:t>Смертей</w:t>
            </w:r>
          </w:p>
        </w:tc>
        <w:tc>
          <w:tcPr>
            <w:tcW w:type="dxa" w:w="1670"/>
            <w:shd w:val="clear" w:fill="E7EEF6"/>
          </w:tcPr>
          <w:p>
            <w:pPr>
              <w:keepNext/>
              <w:spacing w:after="0" w:line="240" w:lineRule="auto"/>
              <w:ind w:firstLine="0"/>
              <w:jc w:val="left"/>
            </w:pPr>
            <w:r/>
            <w:r>
              <w:rPr>
                <w:b/>
                <w:sz w:val="20"/>
              </w:rPr>
              <w:t>Медиана выживаемости, мес.</w:t>
            </w:r>
          </w:p>
        </w:tc>
        <w:tc>
          <w:tcPr>
            <w:tcW w:type="dxa" w:w="1428"/>
            <w:shd w:val="clear" w:fill="E7EEF6"/>
          </w:tcPr>
          <w:p>
            <w:pPr>
              <w:keepNext/>
              <w:spacing w:after="0" w:line="240" w:lineRule="auto"/>
              <w:ind w:firstLine="0"/>
              <w:jc w:val="left"/>
            </w:pPr>
            <w:r/>
            <w:r>
              <w:rPr>
                <w:b/>
                <w:sz w:val="20"/>
              </w:rPr>
              <w:t>Живы через 1 год, %</w:t>
            </w:r>
          </w:p>
        </w:tc>
        <w:tc>
          <w:tcPr>
            <w:tcW w:type="dxa" w:w="1465"/>
            <w:shd w:val="clear" w:fill="E7EEF6"/>
          </w:tcPr>
          <w:p>
            <w:pPr>
              <w:keepNext/>
              <w:spacing w:after="0" w:line="240" w:lineRule="auto"/>
              <w:ind w:firstLine="0"/>
              <w:jc w:val="left"/>
            </w:pPr>
            <w:r/>
            <w:r>
              <w:rPr>
                <w:b/>
                <w:sz w:val="20"/>
              </w:rPr>
              <w:t>Живы через 2 года, %</w:t>
            </w:r>
          </w:p>
        </w:tc>
      </w:tr>
      <w:tr>
        <w:trPr>
          <w:cantSplit w:val="true"/>
        </w:trPr>
        <w:tc>
          <w:tcPr>
            <w:tcW w:type="dxa" w:w="1853"/>
          </w:tcPr>
          <w:p>
            <w:pPr>
              <w:keepNext/>
              <w:spacing w:after="0" w:line="240" w:lineRule="auto"/>
              <w:ind w:firstLine="0"/>
              <w:jc w:val="left"/>
            </w:pPr>
            <w:r/>
            <w:r>
              <w:rPr>
                <w:sz w:val="20"/>
              </w:rPr>
              <w:t>Q1</w:t>
            </w:r>
          </w:p>
        </w:tc>
        <w:tc>
          <w:tcPr>
            <w:tcW w:type="dxa" w:w="1135"/>
          </w:tcPr>
          <w:p>
            <w:pPr>
              <w:keepNext/>
              <w:spacing w:after="0" w:line="240" w:lineRule="auto"/>
              <w:ind w:firstLine="0"/>
              <w:jc w:val="left"/>
            </w:pPr>
            <w:r/>
            <w:r>
              <w:rPr>
                <w:sz w:val="20"/>
              </w:rPr>
              <w:t>10–50</w:t>
            </w:r>
          </w:p>
        </w:tc>
        <w:tc>
          <w:tcPr>
            <w:tcW w:type="dxa" w:w="655"/>
          </w:tcPr>
          <w:p>
            <w:pPr>
              <w:keepNext/>
              <w:spacing w:after="0" w:line="240" w:lineRule="auto"/>
              <w:ind w:firstLine="0"/>
              <w:jc w:val="left"/>
            </w:pPr>
            <w:r/>
            <w:r>
              <w:rPr>
                <w:sz w:val="20"/>
              </w:rPr>
              <w:t>161</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21.9</w:t>
            </w:r>
          </w:p>
        </w:tc>
        <w:tc>
          <w:tcPr>
            <w:tcW w:type="dxa" w:w="1428"/>
          </w:tcPr>
          <w:p>
            <w:pPr>
              <w:keepNext/>
              <w:spacing w:after="0" w:line="240" w:lineRule="auto"/>
              <w:ind w:firstLine="0"/>
              <w:jc w:val="left"/>
            </w:pPr>
            <w:r/>
            <w:r>
              <w:rPr>
                <w:sz w:val="20"/>
              </w:rPr>
              <w:t>78.0</w:t>
            </w:r>
          </w:p>
        </w:tc>
        <w:tc>
          <w:tcPr>
            <w:tcW w:type="dxa" w:w="1465"/>
          </w:tcPr>
          <w:p>
            <w:pPr>
              <w:keepNext/>
              <w:spacing w:after="0" w:line="240" w:lineRule="auto"/>
              <w:ind w:firstLine="0"/>
              <w:jc w:val="left"/>
            </w:pPr>
            <w:r/>
            <w:r>
              <w:rPr>
                <w:sz w:val="20"/>
              </w:rPr>
              <w:t>44.8</w:t>
            </w:r>
          </w:p>
        </w:tc>
      </w:tr>
      <w:tr>
        <w:trPr>
          <w:cantSplit w:val="true"/>
        </w:trPr>
        <w:tc>
          <w:tcPr>
            <w:tcW w:type="dxa" w:w="1853"/>
          </w:tcPr>
          <w:p>
            <w:pPr>
              <w:keepNext/>
              <w:spacing w:after="0" w:line="240" w:lineRule="auto"/>
              <w:ind w:firstLine="0"/>
              <w:jc w:val="left"/>
            </w:pPr>
            <w:r/>
            <w:r>
              <w:rPr>
                <w:sz w:val="20"/>
              </w:rPr>
              <w:t>Q2</w:t>
            </w:r>
          </w:p>
        </w:tc>
        <w:tc>
          <w:tcPr>
            <w:tcW w:type="dxa" w:w="1135"/>
          </w:tcPr>
          <w:p>
            <w:pPr>
              <w:keepNext/>
              <w:spacing w:after="0" w:line="240" w:lineRule="auto"/>
              <w:ind w:firstLine="0"/>
              <w:jc w:val="left"/>
            </w:pPr>
            <w:r/>
            <w:r>
              <w:rPr>
                <w:sz w:val="20"/>
              </w:rPr>
              <w:t>51–59</w:t>
            </w:r>
          </w:p>
        </w:tc>
        <w:tc>
          <w:tcPr>
            <w:tcW w:type="dxa" w:w="655"/>
          </w:tcPr>
          <w:p>
            <w:pPr>
              <w:keepNext/>
              <w:spacing w:after="0" w:line="240" w:lineRule="auto"/>
              <w:ind w:firstLine="0"/>
              <w:jc w:val="left"/>
            </w:pPr>
            <w:r/>
            <w:r>
              <w:rPr>
                <w:sz w:val="20"/>
              </w:rPr>
              <w:t>145</w:t>
            </w:r>
          </w:p>
        </w:tc>
        <w:tc>
          <w:tcPr>
            <w:tcW w:type="dxa" w:w="866"/>
          </w:tcPr>
          <w:p>
            <w:pPr>
              <w:keepNext/>
              <w:spacing w:after="0" w:line="240" w:lineRule="auto"/>
              <w:ind w:firstLine="0"/>
              <w:jc w:val="left"/>
            </w:pPr>
            <w:r/>
            <w:r>
              <w:rPr>
                <w:sz w:val="20"/>
              </w:rPr>
              <w:t>127</w:t>
            </w:r>
          </w:p>
        </w:tc>
        <w:tc>
          <w:tcPr>
            <w:tcW w:type="dxa" w:w="1670"/>
          </w:tcPr>
          <w:p>
            <w:pPr>
              <w:keepNext/>
              <w:spacing w:after="0" w:line="240" w:lineRule="auto"/>
              <w:ind w:firstLine="0"/>
              <w:jc w:val="left"/>
            </w:pPr>
            <w:r/>
            <w:r>
              <w:rPr>
                <w:sz w:val="20"/>
              </w:rPr>
              <w:t>14.9</w:t>
            </w:r>
          </w:p>
        </w:tc>
        <w:tc>
          <w:tcPr>
            <w:tcW w:type="dxa" w:w="1428"/>
          </w:tcPr>
          <w:p>
            <w:pPr>
              <w:keepNext/>
              <w:spacing w:after="0" w:line="240" w:lineRule="auto"/>
              <w:ind w:firstLine="0"/>
              <w:jc w:val="left"/>
            </w:pPr>
            <w:r/>
            <w:r>
              <w:rPr>
                <w:sz w:val="20"/>
              </w:rPr>
              <w:t>60.4</w:t>
            </w:r>
          </w:p>
        </w:tc>
        <w:tc>
          <w:tcPr>
            <w:tcW w:type="dxa" w:w="1465"/>
          </w:tcPr>
          <w:p>
            <w:pPr>
              <w:keepNext/>
              <w:spacing w:after="0" w:line="240" w:lineRule="auto"/>
              <w:ind w:firstLine="0"/>
              <w:jc w:val="left"/>
            </w:pPr>
            <w:r/>
            <w:r>
              <w:rPr>
                <w:sz w:val="20"/>
              </w:rPr>
              <w:t>17.1</w:t>
            </w:r>
          </w:p>
        </w:tc>
      </w:tr>
      <w:tr>
        <w:trPr>
          <w:cantSplit w:val="true"/>
        </w:trPr>
        <w:tc>
          <w:tcPr>
            <w:tcW w:type="dxa" w:w="1853"/>
          </w:tcPr>
          <w:p>
            <w:pPr>
              <w:keepNext/>
              <w:spacing w:after="0" w:line="240" w:lineRule="auto"/>
              <w:ind w:firstLine="0"/>
              <w:jc w:val="left"/>
            </w:pPr>
            <w:r/>
            <w:r>
              <w:rPr>
                <w:sz w:val="20"/>
              </w:rPr>
              <w:t>Q3</w:t>
            </w:r>
          </w:p>
        </w:tc>
        <w:tc>
          <w:tcPr>
            <w:tcW w:type="dxa" w:w="1135"/>
          </w:tcPr>
          <w:p>
            <w:pPr>
              <w:keepNext/>
              <w:spacing w:after="0" w:line="240" w:lineRule="auto"/>
              <w:ind w:firstLine="0"/>
              <w:jc w:val="left"/>
            </w:pPr>
            <w:r/>
            <w:r>
              <w:rPr>
                <w:sz w:val="20"/>
              </w:rPr>
              <w:t>60–68</w:t>
            </w:r>
          </w:p>
        </w:tc>
        <w:tc>
          <w:tcPr>
            <w:tcW w:type="dxa" w:w="655"/>
          </w:tcPr>
          <w:p>
            <w:pPr>
              <w:keepNext/>
              <w:spacing w:after="0" w:line="240" w:lineRule="auto"/>
              <w:ind w:firstLine="0"/>
              <w:jc w:val="left"/>
            </w:pPr>
            <w:r/>
            <w:r>
              <w:rPr>
                <w:sz w:val="20"/>
              </w:rPr>
              <w:t>141</w:t>
            </w:r>
          </w:p>
        </w:tc>
        <w:tc>
          <w:tcPr>
            <w:tcW w:type="dxa" w:w="866"/>
          </w:tcPr>
          <w:p>
            <w:pPr>
              <w:keepNext/>
              <w:spacing w:after="0" w:line="240" w:lineRule="auto"/>
              <w:ind w:firstLine="0"/>
              <w:jc w:val="left"/>
            </w:pPr>
            <w:r/>
            <w:r>
              <w:rPr>
                <w:sz w:val="20"/>
              </w:rPr>
              <w:t>121</w:t>
            </w:r>
          </w:p>
        </w:tc>
        <w:tc>
          <w:tcPr>
            <w:tcW w:type="dxa" w:w="1670"/>
          </w:tcPr>
          <w:p>
            <w:pPr>
              <w:keepNext/>
              <w:spacing w:after="0" w:line="240" w:lineRule="auto"/>
              <w:ind w:firstLine="0"/>
              <w:jc w:val="left"/>
            </w:pPr>
            <w:r/>
            <w:r>
              <w:rPr>
                <w:sz w:val="20"/>
              </w:rPr>
              <w:t>13.3</w:t>
            </w:r>
          </w:p>
        </w:tc>
        <w:tc>
          <w:tcPr>
            <w:tcW w:type="dxa" w:w="1428"/>
          </w:tcPr>
          <w:p>
            <w:pPr>
              <w:keepNext/>
              <w:spacing w:after="0" w:line="240" w:lineRule="auto"/>
              <w:ind w:firstLine="0"/>
              <w:jc w:val="left"/>
            </w:pPr>
            <w:r/>
            <w:r>
              <w:rPr>
                <w:sz w:val="20"/>
              </w:rPr>
              <w:t>59.3</w:t>
            </w:r>
          </w:p>
        </w:tc>
        <w:tc>
          <w:tcPr>
            <w:tcW w:type="dxa" w:w="1465"/>
          </w:tcPr>
          <w:p>
            <w:pPr>
              <w:keepNext/>
              <w:spacing w:after="0" w:line="240" w:lineRule="auto"/>
              <w:ind w:firstLine="0"/>
              <w:jc w:val="left"/>
            </w:pPr>
            <w:r/>
            <w:r>
              <w:rPr>
                <w:sz w:val="20"/>
              </w:rPr>
              <w:t>17.3</w:t>
            </w:r>
          </w:p>
        </w:tc>
      </w:tr>
      <w:tr>
        <w:trPr>
          <w:cantSplit w:val="true"/>
        </w:trPr>
        <w:tc>
          <w:tcPr>
            <w:tcW w:type="dxa" w:w="1853"/>
          </w:tcPr>
          <w:p>
            <w:pPr>
              <w:keepNext/>
              <w:spacing w:after="0" w:line="240" w:lineRule="auto"/>
              <w:ind w:firstLine="0"/>
              <w:jc w:val="left"/>
            </w:pPr>
            <w:r/>
            <w:r>
              <w:rPr>
                <w:sz w:val="20"/>
              </w:rPr>
              <w:t>Q4</w:t>
            </w:r>
          </w:p>
        </w:tc>
        <w:tc>
          <w:tcPr>
            <w:tcW w:type="dxa" w:w="1135"/>
          </w:tcPr>
          <w:p>
            <w:pPr>
              <w:keepNext/>
              <w:spacing w:after="0" w:line="240" w:lineRule="auto"/>
              <w:ind w:firstLine="0"/>
              <w:jc w:val="left"/>
            </w:pPr>
            <w:r/>
            <w:r>
              <w:rPr>
                <w:sz w:val="20"/>
              </w:rPr>
              <w:t>69–89</w:t>
            </w:r>
          </w:p>
        </w:tc>
        <w:tc>
          <w:tcPr>
            <w:tcW w:type="dxa" w:w="655"/>
          </w:tcPr>
          <w:p>
            <w:pPr>
              <w:keepNext/>
              <w:spacing w:after="0" w:line="240" w:lineRule="auto"/>
              <w:ind w:firstLine="0"/>
              <w:jc w:val="left"/>
            </w:pPr>
            <w:r/>
            <w:r>
              <w:rPr>
                <w:sz w:val="20"/>
              </w:rPr>
              <w:t>146</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7.6</w:t>
            </w:r>
          </w:p>
        </w:tc>
        <w:tc>
          <w:tcPr>
            <w:tcW w:type="dxa" w:w="1428"/>
          </w:tcPr>
          <w:p>
            <w:pPr>
              <w:keepNext/>
              <w:spacing w:after="0" w:line="240" w:lineRule="auto"/>
              <w:ind w:firstLine="0"/>
              <w:jc w:val="left"/>
            </w:pPr>
            <w:r/>
            <w:r>
              <w:rPr>
                <w:sz w:val="20"/>
              </w:rPr>
              <w:t>31.7</w:t>
            </w:r>
          </w:p>
        </w:tc>
        <w:tc>
          <w:tcPr>
            <w:tcW w:type="dxa" w:w="1465"/>
          </w:tcPr>
          <w:p>
            <w:pPr>
              <w:keepNext/>
              <w:spacing w:after="0" w:line="240" w:lineRule="auto"/>
              <w:ind w:firstLine="0"/>
              <w:jc w:val="left"/>
            </w:pPr>
            <w:r/>
            <w:r>
              <w:rPr>
                <w:sz w:val="20"/>
              </w:rPr>
              <w:t>10.6</w:t>
            </w:r>
          </w:p>
        </w:tc>
      </w:tr>
      <w:tr>
        <w:trPr>
          <w:cantSplit w:val="true"/>
        </w:trPr>
        <w:tc>
          <w:tcPr>
            <w:tcW w:type="dxa" w:w="1853"/>
          </w:tcPr>
          <w:p>
            <w:pPr>
              <w:spacing w:after="0" w:line="240" w:lineRule="auto"/>
              <w:ind w:firstLine="0"/>
              <w:jc w:val="left"/>
            </w:pPr>
            <w:r/>
            <w:r>
              <w:rPr>
                <w:sz w:val="20"/>
              </w:rPr>
              <w:t>Лог-ранговый критерий (4 группы)</w:t>
            </w:r>
          </w:p>
        </w:tc>
        <w:tc>
          <w:tcPr>
            <w:tcW w:type="dxa" w:w="1135"/>
          </w:tcPr>
          <w:p>
            <w:pPr>
              <w:spacing w:after="0" w:line="240" w:lineRule="auto"/>
              <w:ind w:firstLine="0"/>
              <w:jc w:val="left"/>
            </w:pPr>
            <w:r/>
            <w:r>
              <w:rPr>
                <w:sz w:val="20"/>
              </w:rPr>
            </w:r>
          </w:p>
        </w:tc>
        <w:tc>
          <w:tcPr>
            <w:tcW w:type="dxa" w:w="655"/>
          </w:tcPr>
          <w:p>
            <w:pPr>
              <w:spacing w:after="0" w:line="240" w:lineRule="auto"/>
              <w:ind w:firstLine="0"/>
              <w:jc w:val="left"/>
            </w:pPr>
            <w:r/>
            <w:r>
              <w:rPr>
                <w:sz w:val="20"/>
              </w:rPr>
            </w:r>
          </w:p>
        </w:tc>
        <w:tc>
          <w:tcPr>
            <w:tcW w:type="dxa" w:w="866"/>
          </w:tcPr>
          <w:p>
            <w:pPr>
              <w:spacing w:after="0" w:line="240" w:lineRule="auto"/>
              <w:ind w:firstLine="0"/>
              <w:jc w:val="left"/>
            </w:pPr>
            <w:r/>
            <w:r>
              <w:rPr>
                <w:sz w:val="20"/>
              </w:rPr>
            </w:r>
          </w:p>
        </w:tc>
        <w:tc>
          <w:tcPr>
            <w:tcW w:type="dxa" w:w="1670"/>
          </w:tcPr>
          <w:p>
            <w:pPr>
              <w:spacing w:after="0" w:line="240" w:lineRule="auto"/>
              <w:ind w:firstLine="0"/>
              <w:jc w:val="left"/>
            </w:pPr>
            <w:r/>
            <w:r>
              <w:rPr>
                <w:sz w:val="20"/>
              </w:rPr>
              <w:t>χ² = 97.5, p = 5.4 × 10⁻²¹</w:t>
            </w:r>
          </w:p>
        </w:tc>
        <w:tc>
          <w:tcPr>
            <w:tcW w:type="dxa" w:w="1428"/>
          </w:tcPr>
          <w:p>
            <w:pPr>
              <w:spacing w:after="0" w:line="240" w:lineRule="auto"/>
              <w:ind w:firstLine="0"/>
              <w:jc w:val="left"/>
            </w:pPr>
            <w:r/>
            <w:r>
              <w:rPr>
                <w:sz w:val="20"/>
              </w:rPr>
            </w:r>
          </w:p>
        </w:tc>
        <w:tc>
          <w:tcPr>
            <w:tcW w:type="dxa" w:w="1465"/>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 Небольшое снижение в M2 даёт KPS, а не пол. На тех же 439 пациентах один возраст даёт 1.033, возраст с полом — 1.033, возраст с KPS — 1.029, возраст с обоими — 1.028 (таблица А5). Пожилые пациенты приходят с более низким индексом Карновского (r = −0.29), так что часть того, что возраст измеряет в M1, — это функциональный статус. Сам пол несёт умеренный риск: ОР 1.21 сам по себе и 1.33, когда в модели есть KPS, но оценку возраста он не трогает. Исключение 154 пациентов без KPS ничего не меняет (1.034 против 1.033), а исключение двух пациентов с KPS 0 оставляет M2 на 1.028.</w:t>
      </w:r>
    </w:p>
    <w:p>
      <w:pPr>
        <w:keepNext/>
        <w:spacing w:after="80"/>
        <w:jc w:val="left"/>
      </w:pPr>
      <w:r>
        <w:rPr>
          <w:b/>
          <w:sz w:val="22"/>
        </w:rPr>
        <w:t>Таблица 4. Отношение рисков на один дополнительный год возраста в пяти вложенных моделях Кокса.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0"/>
        <w:gridCol w:w="2096"/>
        <w:gridCol w:w="792"/>
        <w:gridCol w:w="1048"/>
        <w:gridCol w:w="1727"/>
        <w:gridCol w:w="1314"/>
        <w:gridCol w:w="1120"/>
      </w:tblGrid>
      <w:tr>
        <w:trPr>
          <w:cantSplit w:val="true"/>
          <w:tblHeader w:val="true"/>
        </w:trPr>
        <w:tc>
          <w:tcPr>
            <w:tcW w:type="dxa" w:w="971"/>
            <w:shd w:val="clear" w:fill="E7EEF6"/>
          </w:tcPr>
          <w:p>
            <w:pPr>
              <w:keepNext/>
              <w:spacing w:after="0" w:line="240" w:lineRule="auto"/>
              <w:ind w:firstLine="0"/>
              <w:jc w:val="left"/>
            </w:pPr>
            <w:r/>
            <w:r>
              <w:rPr>
                <w:b/>
                <w:sz w:val="20"/>
              </w:rPr>
              <w:t>Модель</w:t>
            </w:r>
          </w:p>
        </w:tc>
        <w:tc>
          <w:tcPr>
            <w:tcW w:type="dxa" w:w="2097"/>
            <w:shd w:val="clear" w:fill="E7EEF6"/>
          </w:tcPr>
          <w:p>
            <w:pPr>
              <w:keepNext/>
              <w:spacing w:after="0" w:line="240" w:lineRule="auto"/>
              <w:ind w:firstLine="0"/>
              <w:jc w:val="left"/>
            </w:pPr>
            <w:r/>
            <w:r>
              <w:rPr>
                <w:b/>
                <w:sz w:val="20"/>
              </w:rPr>
              <w:t>Переменные</w:t>
            </w:r>
          </w:p>
        </w:tc>
        <w:tc>
          <w:tcPr>
            <w:tcW w:type="dxa" w:w="793"/>
            <w:shd w:val="clear" w:fill="E7EEF6"/>
          </w:tcPr>
          <w:p>
            <w:pPr>
              <w:keepNext/>
              <w:spacing w:after="0" w:line="240" w:lineRule="auto"/>
              <w:ind w:firstLine="0"/>
              <w:jc w:val="left"/>
            </w:pPr>
            <w:r/>
            <w:r>
              <w:rPr>
                <w:b/>
                <w:sz w:val="20"/>
              </w:rPr>
              <w:t>n</w:t>
            </w:r>
          </w:p>
        </w:tc>
        <w:tc>
          <w:tcPr>
            <w:tcW w:type="dxa" w:w="1048"/>
            <w:shd w:val="clear" w:fill="E7EEF6"/>
          </w:tcPr>
          <w:p>
            <w:pPr>
              <w:keepNext/>
              <w:spacing w:after="0" w:line="240" w:lineRule="auto"/>
              <w:ind w:firstLine="0"/>
              <w:jc w:val="left"/>
            </w:pPr>
            <w:r/>
            <w:r>
              <w:rPr>
                <w:b/>
                <w:sz w:val="20"/>
              </w:rPr>
              <w:t>Смертей</w:t>
            </w:r>
          </w:p>
        </w:tc>
        <w:tc>
          <w:tcPr>
            <w:tcW w:type="dxa" w:w="1727"/>
            <w:shd w:val="clear" w:fill="E7EEF6"/>
          </w:tcPr>
          <w:p>
            <w:pPr>
              <w:keepNext/>
              <w:spacing w:after="0" w:line="240" w:lineRule="auto"/>
              <w:ind w:firstLine="0"/>
              <w:jc w:val="left"/>
            </w:pPr>
            <w:r/>
            <w:r>
              <w:rPr>
                <w:b/>
                <w:sz w:val="20"/>
              </w:rPr>
              <w:t>ОР на год (95 % ДИ)</w:t>
            </w:r>
          </w:p>
        </w:tc>
        <w:tc>
          <w:tcPr>
            <w:tcW w:type="dxa" w:w="1314"/>
            <w:shd w:val="clear" w:fill="E7EEF6"/>
          </w:tcPr>
          <w:p>
            <w:pPr>
              <w:keepNext/>
              <w:spacing w:after="0" w:line="240" w:lineRule="auto"/>
              <w:ind w:firstLine="0"/>
              <w:jc w:val="left"/>
            </w:pPr>
            <w:r/>
            <w:r>
              <w:rPr>
                <w:b/>
                <w:sz w:val="20"/>
              </w:rPr>
              <w:t>p</w:t>
            </w:r>
          </w:p>
        </w:tc>
        <w:tc>
          <w:tcPr>
            <w:tcW w:type="dxa" w:w="1121"/>
            <w:shd w:val="clear" w:fill="E7EEF6"/>
          </w:tcPr>
          <w:p>
            <w:pPr>
              <w:keepNext/>
              <w:spacing w:after="0" w:line="240" w:lineRule="auto"/>
              <w:ind w:firstLine="0"/>
              <w:jc w:val="left"/>
            </w:pPr>
            <w:r/>
            <w:r>
              <w:rPr>
                <w:b/>
                <w:sz w:val="20"/>
              </w:rPr>
              <w:t>C-индекс</w:t>
            </w:r>
          </w:p>
        </w:tc>
      </w:tr>
      <w:tr>
        <w:trPr>
          <w:cantSplit w:val="true"/>
        </w:trPr>
        <w:tc>
          <w:tcPr>
            <w:tcW w:type="dxa" w:w="971"/>
          </w:tcPr>
          <w:p>
            <w:pPr>
              <w:keepNext/>
              <w:spacing w:after="0" w:line="240" w:lineRule="auto"/>
              <w:ind w:firstLine="0"/>
              <w:jc w:val="left"/>
            </w:pPr>
            <w:r/>
            <w:r>
              <w:rPr>
                <w:sz w:val="20"/>
              </w:rPr>
              <w:t>M1</w:t>
            </w:r>
          </w:p>
        </w:tc>
        <w:tc>
          <w:tcPr>
            <w:tcW w:type="dxa" w:w="2097"/>
          </w:tcPr>
          <w:p>
            <w:pPr>
              <w:keepNext/>
              <w:spacing w:after="0" w:line="240" w:lineRule="auto"/>
              <w:ind w:firstLine="0"/>
              <w:jc w:val="left"/>
            </w:pPr>
            <w:r/>
            <w:r>
              <w:rPr>
                <w:sz w:val="20"/>
              </w:rPr>
              <w:t>возраст</w:t>
            </w:r>
          </w:p>
        </w:tc>
        <w:tc>
          <w:tcPr>
            <w:tcW w:type="dxa" w:w="793"/>
          </w:tcPr>
          <w:p>
            <w:pPr>
              <w:keepNext/>
              <w:spacing w:after="0" w:line="240" w:lineRule="auto"/>
              <w:ind w:firstLine="0"/>
              <w:jc w:val="left"/>
            </w:pPr>
            <w:r/>
            <w:r>
              <w:rPr>
                <w:sz w:val="20"/>
              </w:rPr>
              <w:t>593</w:t>
            </w:r>
          </w:p>
        </w:tc>
        <w:tc>
          <w:tcPr>
            <w:tcW w:type="dxa" w:w="1048"/>
          </w:tcPr>
          <w:p>
            <w:pPr>
              <w:keepNext/>
              <w:spacing w:after="0" w:line="240" w:lineRule="auto"/>
              <w:ind w:firstLine="0"/>
              <w:jc w:val="left"/>
            </w:pPr>
            <w:r/>
            <w:r>
              <w:rPr>
                <w:sz w:val="20"/>
              </w:rPr>
              <w:t>492</w:t>
            </w:r>
          </w:p>
        </w:tc>
        <w:tc>
          <w:tcPr>
            <w:tcW w:type="dxa" w:w="1727"/>
          </w:tcPr>
          <w:p>
            <w:pPr>
              <w:keepNext/>
              <w:spacing w:after="0" w:line="240" w:lineRule="auto"/>
              <w:ind w:firstLine="0"/>
              <w:jc w:val="left"/>
            </w:pPr>
            <w:r/>
            <w:r>
              <w:rPr>
                <w:sz w:val="20"/>
              </w:rPr>
              <w:t>1.034 (1.027–1.042)</w:t>
            </w:r>
          </w:p>
        </w:tc>
        <w:tc>
          <w:tcPr>
            <w:tcW w:type="dxa" w:w="1314"/>
          </w:tcPr>
          <w:p>
            <w:pPr>
              <w:keepNext/>
              <w:spacing w:after="0" w:line="240" w:lineRule="auto"/>
              <w:ind w:firstLine="0"/>
              <w:jc w:val="left"/>
            </w:pPr>
            <w:r/>
            <w:r>
              <w:rPr>
                <w:sz w:val="20"/>
              </w:rPr>
              <w:t>4.4 × 10⁻²¹</w:t>
            </w:r>
          </w:p>
        </w:tc>
        <w:tc>
          <w:tcPr>
            <w:tcW w:type="dxa" w:w="1121"/>
          </w:tcPr>
          <w:p>
            <w:pPr>
              <w:keepNext/>
              <w:spacing w:after="0" w:line="240" w:lineRule="auto"/>
              <w:ind w:firstLine="0"/>
              <w:jc w:val="left"/>
            </w:pPr>
            <w:r/>
            <w:r>
              <w:rPr>
                <w:sz w:val="20"/>
              </w:rPr>
              <w:t>0.655</w:t>
            </w:r>
          </w:p>
        </w:tc>
      </w:tr>
      <w:tr>
        <w:trPr>
          <w:cantSplit w:val="true"/>
        </w:trPr>
        <w:tc>
          <w:tcPr>
            <w:tcW w:type="dxa" w:w="971"/>
          </w:tcPr>
          <w:p>
            <w:pPr>
              <w:keepNext/>
              <w:spacing w:after="0" w:line="240" w:lineRule="auto"/>
              <w:ind w:firstLine="0"/>
              <w:jc w:val="left"/>
            </w:pPr>
            <w:r/>
            <w:r>
              <w:rPr>
                <w:sz w:val="20"/>
              </w:rPr>
              <w:t>M2</w:t>
            </w:r>
          </w:p>
        </w:tc>
        <w:tc>
          <w:tcPr>
            <w:tcW w:type="dxa" w:w="2097"/>
          </w:tcPr>
          <w:p>
            <w:pPr>
              <w:keepNext/>
              <w:spacing w:after="0" w:line="240" w:lineRule="auto"/>
              <w:ind w:firstLine="0"/>
              <w:jc w:val="left"/>
            </w:pPr>
            <w:r/>
            <w:r>
              <w:rPr>
                <w:sz w:val="20"/>
              </w:rPr>
              <w:t>возраст, пол, KPS</w:t>
            </w:r>
          </w:p>
        </w:tc>
        <w:tc>
          <w:tcPr>
            <w:tcW w:type="dxa" w:w="793"/>
          </w:tcPr>
          <w:p>
            <w:pPr>
              <w:keepNext/>
              <w:spacing w:after="0" w:line="240" w:lineRule="auto"/>
              <w:ind w:firstLine="0"/>
              <w:jc w:val="left"/>
            </w:pPr>
            <w:r/>
            <w:r>
              <w:rPr>
                <w:sz w:val="20"/>
              </w:rPr>
              <w:t>439</w:t>
            </w:r>
          </w:p>
        </w:tc>
        <w:tc>
          <w:tcPr>
            <w:tcW w:type="dxa" w:w="1048"/>
          </w:tcPr>
          <w:p>
            <w:pPr>
              <w:keepNext/>
              <w:spacing w:after="0" w:line="240" w:lineRule="auto"/>
              <w:ind w:firstLine="0"/>
              <w:jc w:val="left"/>
            </w:pPr>
            <w:r/>
            <w:r>
              <w:rPr>
                <w:sz w:val="20"/>
              </w:rPr>
              <w:t>359</w:t>
            </w:r>
          </w:p>
        </w:tc>
        <w:tc>
          <w:tcPr>
            <w:tcW w:type="dxa" w:w="1727"/>
          </w:tcPr>
          <w:p>
            <w:pPr>
              <w:keepNext/>
              <w:spacing w:after="0" w:line="240" w:lineRule="auto"/>
              <w:ind w:firstLine="0"/>
              <w:jc w:val="left"/>
            </w:pPr>
            <w:r/>
            <w:r>
              <w:rPr>
                <w:sz w:val="20"/>
              </w:rPr>
              <w:t>1.028 (1.019–1.037)</w:t>
            </w:r>
          </w:p>
        </w:tc>
        <w:tc>
          <w:tcPr>
            <w:tcW w:type="dxa" w:w="1314"/>
          </w:tcPr>
          <w:p>
            <w:pPr>
              <w:keepNext/>
              <w:spacing w:after="0" w:line="240" w:lineRule="auto"/>
              <w:ind w:firstLine="0"/>
              <w:jc w:val="left"/>
            </w:pPr>
            <w:r/>
            <w:r>
              <w:rPr>
                <w:sz w:val="20"/>
              </w:rPr>
              <w:t>2.3 × 10⁻¹⁰</w:t>
            </w:r>
          </w:p>
        </w:tc>
        <w:tc>
          <w:tcPr>
            <w:tcW w:type="dxa" w:w="1121"/>
          </w:tcPr>
          <w:p>
            <w:pPr>
              <w:keepNext/>
              <w:spacing w:after="0" w:line="240" w:lineRule="auto"/>
              <w:ind w:firstLine="0"/>
              <w:jc w:val="left"/>
            </w:pPr>
            <w:r/>
            <w:r>
              <w:rPr>
                <w:sz w:val="20"/>
              </w:rPr>
              <w:t>0.666</w:t>
            </w:r>
          </w:p>
        </w:tc>
      </w:tr>
      <w:tr>
        <w:trPr>
          <w:cantSplit w:val="true"/>
        </w:trPr>
        <w:tc>
          <w:tcPr>
            <w:tcW w:type="dxa" w:w="971"/>
          </w:tcPr>
          <w:p>
            <w:pPr>
              <w:keepNext/>
              <w:spacing w:after="0" w:line="240" w:lineRule="auto"/>
              <w:ind w:firstLine="0"/>
              <w:jc w:val="left"/>
            </w:pPr>
            <w:r/>
            <w:r>
              <w:rPr>
                <w:sz w:val="20"/>
              </w:rPr>
              <w:t>M3</w:t>
            </w:r>
          </w:p>
        </w:tc>
        <w:tc>
          <w:tcPr>
            <w:tcW w:type="dxa" w:w="2097"/>
          </w:tcPr>
          <w:p>
            <w:pPr>
              <w:keepNext/>
              <w:spacing w:after="0" w:line="240" w:lineRule="auto"/>
              <w:ind w:firstLine="0"/>
              <w:jc w:val="left"/>
            </w:pPr>
            <w:r/>
            <w:r>
              <w:rPr>
                <w:sz w:val="20"/>
              </w:rPr>
              <w:t>возраст, MGMT</w:t>
            </w:r>
          </w:p>
        </w:tc>
        <w:tc>
          <w:tcPr>
            <w:tcW w:type="dxa" w:w="793"/>
          </w:tcPr>
          <w:p>
            <w:pPr>
              <w:keepNext/>
              <w:spacing w:after="0" w:line="240" w:lineRule="auto"/>
              <w:ind w:firstLine="0"/>
              <w:jc w:val="left"/>
            </w:pPr>
            <w:r/>
            <w:r>
              <w:rPr>
                <w:sz w:val="20"/>
              </w:rPr>
              <w:t>413</w:t>
            </w:r>
          </w:p>
        </w:tc>
        <w:tc>
          <w:tcPr>
            <w:tcW w:type="dxa" w:w="1048"/>
          </w:tcPr>
          <w:p>
            <w:pPr>
              <w:keepNext/>
              <w:spacing w:after="0" w:line="240" w:lineRule="auto"/>
              <w:ind w:firstLine="0"/>
              <w:jc w:val="left"/>
            </w:pPr>
            <w:r/>
            <w:r>
              <w:rPr>
                <w:sz w:val="20"/>
              </w:rPr>
              <w:t>316</w:t>
            </w:r>
          </w:p>
        </w:tc>
        <w:tc>
          <w:tcPr>
            <w:tcW w:type="dxa" w:w="1727"/>
          </w:tcPr>
          <w:p>
            <w:pPr>
              <w:keepNext/>
              <w:spacing w:after="0" w:line="240" w:lineRule="auto"/>
              <w:ind w:firstLine="0"/>
              <w:jc w:val="left"/>
            </w:pPr>
            <w:r/>
            <w:r>
              <w:rPr>
                <w:sz w:val="20"/>
              </w:rPr>
              <w:t>1.036 (1.027–1.046)</w:t>
            </w:r>
          </w:p>
        </w:tc>
        <w:tc>
          <w:tcPr>
            <w:tcW w:type="dxa" w:w="1314"/>
          </w:tcPr>
          <w:p>
            <w:pPr>
              <w:keepNext/>
              <w:spacing w:after="0" w:line="240" w:lineRule="auto"/>
              <w:ind w:firstLine="0"/>
              <w:jc w:val="left"/>
            </w:pPr>
            <w:r/>
            <w:r>
              <w:rPr>
                <w:sz w:val="20"/>
              </w:rPr>
              <w:t>2.0 × 10⁻¹⁵</w:t>
            </w:r>
          </w:p>
        </w:tc>
        <w:tc>
          <w:tcPr>
            <w:tcW w:type="dxa" w:w="1121"/>
          </w:tcPr>
          <w:p>
            <w:pPr>
              <w:keepNext/>
              <w:spacing w:after="0" w:line="240" w:lineRule="auto"/>
              <w:ind w:firstLine="0"/>
              <w:jc w:val="left"/>
            </w:pPr>
            <w:r/>
            <w:r>
              <w:rPr>
                <w:sz w:val="20"/>
              </w:rPr>
              <w:t>0.667</w:t>
            </w:r>
          </w:p>
        </w:tc>
      </w:tr>
      <w:tr>
        <w:trPr>
          <w:cantSplit w:val="true"/>
        </w:trPr>
        <w:tc>
          <w:tcPr>
            <w:tcW w:type="dxa" w:w="971"/>
          </w:tcPr>
          <w:p>
            <w:pPr>
              <w:keepNext/>
              <w:spacing w:after="0" w:line="240" w:lineRule="auto"/>
              <w:ind w:firstLine="0"/>
              <w:jc w:val="left"/>
            </w:pPr>
            <w:r/>
            <w:r>
              <w:rPr>
                <w:sz w:val="20"/>
              </w:rPr>
              <w:t>M4</w:t>
            </w:r>
          </w:p>
        </w:tc>
        <w:tc>
          <w:tcPr>
            <w:tcW w:type="dxa" w:w="2097"/>
          </w:tcPr>
          <w:p>
            <w:pPr>
              <w:keepNext/>
              <w:spacing w:after="0" w:line="240" w:lineRule="auto"/>
              <w:ind w:firstLine="0"/>
              <w:jc w:val="left"/>
            </w:pPr>
            <w:r/>
            <w:r>
              <w:rPr>
                <w:sz w:val="20"/>
              </w:rPr>
              <w:t>возраст, IDH</w:t>
            </w:r>
          </w:p>
        </w:tc>
        <w:tc>
          <w:tcPr>
            <w:tcW w:type="dxa" w:w="793"/>
          </w:tcPr>
          <w:p>
            <w:pPr>
              <w:keepNext/>
              <w:spacing w:after="0" w:line="240" w:lineRule="auto"/>
              <w:ind w:firstLine="0"/>
              <w:jc w:val="left"/>
            </w:pPr>
            <w:r/>
            <w:r>
              <w:rPr>
                <w:sz w:val="20"/>
              </w:rPr>
              <w:t>285</w:t>
            </w:r>
          </w:p>
        </w:tc>
        <w:tc>
          <w:tcPr>
            <w:tcW w:type="dxa" w:w="1048"/>
          </w:tcPr>
          <w:p>
            <w:pPr>
              <w:keepNext/>
              <w:spacing w:after="0" w:line="240" w:lineRule="auto"/>
              <w:ind w:firstLine="0"/>
              <w:jc w:val="left"/>
            </w:pPr>
            <w:r/>
            <w:r>
              <w:rPr>
                <w:sz w:val="20"/>
              </w:rPr>
              <w:t>226</w:t>
            </w:r>
          </w:p>
        </w:tc>
        <w:tc>
          <w:tcPr>
            <w:tcW w:type="dxa" w:w="1727"/>
          </w:tcPr>
          <w:p>
            <w:pPr>
              <w:keepNext/>
              <w:spacing w:after="0" w:line="240" w:lineRule="auto"/>
              <w:ind w:firstLine="0"/>
              <w:jc w:val="left"/>
            </w:pPr>
            <w:r/>
            <w:r>
              <w:rPr>
                <w:sz w:val="20"/>
              </w:rPr>
              <w:t>1.027 (1.015–1.040)</w:t>
            </w:r>
          </w:p>
        </w:tc>
        <w:tc>
          <w:tcPr>
            <w:tcW w:type="dxa" w:w="1314"/>
          </w:tcPr>
          <w:p>
            <w:pPr>
              <w:keepNext/>
              <w:spacing w:after="0" w:line="240" w:lineRule="auto"/>
              <w:ind w:firstLine="0"/>
              <w:jc w:val="left"/>
            </w:pPr>
            <w:r/>
            <w:r>
              <w:rPr>
                <w:sz w:val="20"/>
              </w:rPr>
              <w:t>1.5 × 10⁻⁵</w:t>
            </w:r>
          </w:p>
        </w:tc>
        <w:tc>
          <w:tcPr>
            <w:tcW w:type="dxa" w:w="1121"/>
          </w:tcPr>
          <w:p>
            <w:pPr>
              <w:keepNext/>
              <w:spacing w:after="0" w:line="240" w:lineRule="auto"/>
              <w:ind w:firstLine="0"/>
              <w:jc w:val="left"/>
            </w:pPr>
            <w:r/>
            <w:r>
              <w:rPr>
                <w:sz w:val="20"/>
              </w:rPr>
              <w:t>0.629</w:t>
            </w:r>
          </w:p>
        </w:tc>
      </w:tr>
      <w:tr>
        <w:trPr>
          <w:cantSplit w:val="true"/>
        </w:trPr>
        <w:tc>
          <w:tcPr>
            <w:tcW w:type="dxa" w:w="971"/>
          </w:tcPr>
          <w:p>
            <w:pPr>
              <w:spacing w:after="0" w:line="240" w:lineRule="auto"/>
              <w:ind w:firstLine="0"/>
              <w:jc w:val="left"/>
            </w:pPr>
            <w:r/>
            <w:r>
              <w:rPr>
                <w:sz w:val="20"/>
              </w:rPr>
              <w:t>M5</w:t>
            </w:r>
          </w:p>
        </w:tc>
        <w:tc>
          <w:tcPr>
            <w:tcW w:type="dxa" w:w="2097"/>
          </w:tcPr>
          <w:p>
            <w:pPr>
              <w:spacing w:after="0" w:line="240" w:lineRule="auto"/>
              <w:ind w:firstLine="0"/>
              <w:jc w:val="left"/>
            </w:pPr>
            <w:r/>
            <w:r>
              <w:rPr>
                <w:sz w:val="20"/>
              </w:rPr>
              <w:t>возраст, пол, KPS, MGMT, IDH</w:t>
            </w:r>
          </w:p>
        </w:tc>
        <w:tc>
          <w:tcPr>
            <w:tcW w:type="dxa" w:w="793"/>
          </w:tcPr>
          <w:p>
            <w:pPr>
              <w:spacing w:after="0" w:line="240" w:lineRule="auto"/>
              <w:ind w:firstLine="0"/>
              <w:jc w:val="left"/>
            </w:pPr>
            <w:r/>
            <w:r>
              <w:rPr>
                <w:sz w:val="20"/>
              </w:rPr>
              <w:t>174</w:t>
            </w:r>
          </w:p>
        </w:tc>
        <w:tc>
          <w:tcPr>
            <w:tcW w:type="dxa" w:w="1048"/>
          </w:tcPr>
          <w:p>
            <w:pPr>
              <w:spacing w:after="0" w:line="240" w:lineRule="auto"/>
              <w:ind w:firstLine="0"/>
              <w:jc w:val="left"/>
            </w:pPr>
            <w:r/>
            <w:r>
              <w:rPr>
                <w:sz w:val="20"/>
              </w:rPr>
              <w:t>127</w:t>
            </w:r>
          </w:p>
        </w:tc>
        <w:tc>
          <w:tcPr>
            <w:tcW w:type="dxa" w:w="1727"/>
          </w:tcPr>
          <w:p>
            <w:pPr>
              <w:spacing w:after="0" w:line="240" w:lineRule="auto"/>
              <w:ind w:firstLine="0"/>
              <w:jc w:val="left"/>
            </w:pPr>
            <w:r/>
            <w:r>
              <w:rPr>
                <w:sz w:val="20"/>
              </w:rPr>
              <w:t>1.032 (1.014–1.051)</w:t>
            </w:r>
          </w:p>
        </w:tc>
        <w:tc>
          <w:tcPr>
            <w:tcW w:type="dxa" w:w="1314"/>
          </w:tcPr>
          <w:p>
            <w:pPr>
              <w:spacing w:after="0" w:line="240" w:lineRule="auto"/>
              <w:ind w:firstLine="0"/>
              <w:jc w:val="left"/>
            </w:pPr>
            <w:r/>
            <w:r>
              <w:rPr>
                <w:sz w:val="20"/>
              </w:rPr>
              <w:t>4.3 × 10⁻⁴</w:t>
            </w:r>
          </w:p>
        </w:tc>
        <w:tc>
          <w:tcPr>
            <w:tcW w:type="dxa" w:w="1121"/>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625"/>
        <w:gridCol w:w="1149"/>
        <w:gridCol w:w="2299"/>
        <w:gridCol w:w="1625"/>
      </w:tblGrid>
      <w:tr>
        <w:trPr>
          <w:cantSplit w:val="true"/>
          <w:tblHeader w:val="true"/>
        </w:trPr>
        <w:tc>
          <w:tcPr>
            <w:tcW w:type="dxa" w:w="2370"/>
            <w:shd w:val="clear" w:fill="E7EEF6"/>
          </w:tcPr>
          <w:p>
            <w:pPr>
              <w:keepNext/>
              <w:spacing w:after="0" w:line="240" w:lineRule="auto"/>
              <w:ind w:firstLine="0"/>
              <w:jc w:val="left"/>
            </w:pPr>
            <w:r/>
            <w:r>
              <w:rPr>
                <w:b/>
                <w:sz w:val="20"/>
              </w:rPr>
              <w:t>Переменная</w:t>
            </w:r>
          </w:p>
        </w:tc>
        <w:tc>
          <w:tcPr>
            <w:tcW w:type="dxa" w:w="1626"/>
            <w:shd w:val="clear" w:fill="E7EEF6"/>
          </w:tcPr>
          <w:p>
            <w:pPr>
              <w:keepNext/>
              <w:spacing w:after="0" w:line="240" w:lineRule="auto"/>
              <w:ind w:firstLine="0"/>
              <w:jc w:val="left"/>
            </w:pPr>
            <w:r/>
            <w:r>
              <w:rPr>
                <w:b/>
                <w:sz w:val="20"/>
              </w:rPr>
              <w:t>Модель</w:t>
            </w:r>
          </w:p>
        </w:tc>
        <w:tc>
          <w:tcPr>
            <w:tcW w:type="dxa" w:w="1150"/>
            <w:shd w:val="clear" w:fill="E7EEF6"/>
          </w:tcPr>
          <w:p>
            <w:pPr>
              <w:keepNext/>
              <w:spacing w:after="0" w:line="240" w:lineRule="auto"/>
              <w:ind w:firstLine="0"/>
              <w:jc w:val="left"/>
            </w:pPr>
            <w:r/>
            <w:r>
              <w:rPr>
                <w:b/>
                <w:sz w:val="20"/>
              </w:rPr>
              <w:t>n</w:t>
            </w:r>
          </w:p>
        </w:tc>
        <w:tc>
          <w:tcPr>
            <w:tcW w:type="dxa" w:w="2299"/>
            <w:shd w:val="clear" w:fill="E7EEF6"/>
          </w:tcPr>
          <w:p>
            <w:pPr>
              <w:keepNext/>
              <w:spacing w:after="0" w:line="240" w:lineRule="auto"/>
              <w:ind w:firstLine="0"/>
              <w:jc w:val="left"/>
            </w:pPr>
            <w:r/>
            <w:r>
              <w:rPr>
                <w:b/>
                <w:sz w:val="20"/>
              </w:rPr>
              <w:t>ОР (95 % ДИ)</w:t>
            </w:r>
          </w:p>
        </w:tc>
        <w:tc>
          <w:tcPr>
            <w:tcW w:type="dxa" w:w="1626"/>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593</w:t>
            </w:r>
          </w:p>
        </w:tc>
        <w:tc>
          <w:tcPr>
            <w:tcW w:type="dxa" w:w="2299"/>
          </w:tcPr>
          <w:p>
            <w:pPr>
              <w:keepNext/>
              <w:spacing w:after="0" w:line="240" w:lineRule="auto"/>
              <w:ind w:firstLine="0"/>
              <w:jc w:val="left"/>
            </w:pPr>
            <w:r/>
            <w:r>
              <w:rPr>
                <w:sz w:val="20"/>
              </w:rPr>
              <w:t>1.21 (1.01–1.46)</w:t>
            </w:r>
          </w:p>
        </w:tc>
        <w:tc>
          <w:tcPr>
            <w:tcW w:type="dxa" w:w="1626"/>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1.33 (1.07–1.66)</w:t>
            </w:r>
          </w:p>
        </w:tc>
        <w:tc>
          <w:tcPr>
            <w:tcW w:type="dxa" w:w="1626"/>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1.87 (1.26–2.76)</w:t>
            </w:r>
          </w:p>
        </w:tc>
        <w:tc>
          <w:tcPr>
            <w:tcW w:type="dxa" w:w="1626"/>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0.77 (0.72–0.83)</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0.81 (0.75–0.87)</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0.85 (0.76–0.96)</w:t>
            </w:r>
          </w:p>
        </w:tc>
        <w:tc>
          <w:tcPr>
            <w:tcW w:type="dxa" w:w="1626"/>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0.70 (0.56–0.89)</w:t>
            </w:r>
          </w:p>
        </w:tc>
        <w:tc>
          <w:tcPr>
            <w:tcW w:type="dxa" w:w="1626"/>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M3</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0.79 (0.62–0.99)</w:t>
            </w:r>
          </w:p>
        </w:tc>
        <w:tc>
          <w:tcPr>
            <w:tcW w:type="dxa" w:w="1626"/>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0.93 (0.62–1.39)</w:t>
            </w:r>
          </w:p>
        </w:tc>
        <w:tc>
          <w:tcPr>
            <w:tcW w:type="dxa" w:w="1626"/>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мутантный</w:t>
            </w:r>
          </w:p>
        </w:tc>
        <w:tc>
          <w:tcPr>
            <w:tcW w:type="dxa" w:w="1626"/>
          </w:tcPr>
          <w:p>
            <w:pPr>
              <w:keepNext/>
              <w:spacing w:after="0" w:line="240" w:lineRule="auto"/>
              <w:ind w:firstLine="0"/>
              <w:jc w:val="left"/>
            </w:pPr>
            <w:r/>
            <w:r>
              <w:rPr>
                <w:sz w:val="20"/>
              </w:rPr>
              <w:t>M4</w:t>
            </w:r>
          </w:p>
        </w:tc>
        <w:tc>
          <w:tcPr>
            <w:tcW w:type="dxa" w:w="1150"/>
          </w:tcPr>
          <w:p>
            <w:pPr>
              <w:keepNext/>
              <w:spacing w:after="0" w:line="240" w:lineRule="auto"/>
              <w:ind w:firstLine="0"/>
              <w:jc w:val="left"/>
            </w:pPr>
            <w:r/>
            <w:r>
              <w:rPr>
                <w:sz w:val="20"/>
              </w:rPr>
              <w:t>285</w:t>
            </w:r>
          </w:p>
        </w:tc>
        <w:tc>
          <w:tcPr>
            <w:tcW w:type="dxa" w:w="2299"/>
          </w:tcPr>
          <w:p>
            <w:pPr>
              <w:keepNext/>
              <w:spacing w:after="0" w:line="240" w:lineRule="auto"/>
              <w:ind w:firstLine="0"/>
              <w:jc w:val="left"/>
            </w:pPr>
            <w:r/>
            <w:r>
              <w:rPr>
                <w:sz w:val="20"/>
              </w:rPr>
              <w:t>0.52 (0.22–1.22)</w:t>
            </w:r>
          </w:p>
        </w:tc>
        <w:tc>
          <w:tcPr>
            <w:tcW w:type="dxa" w:w="1626"/>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мутантный</w:t>
            </w:r>
          </w:p>
        </w:tc>
        <w:tc>
          <w:tcPr>
            <w:tcW w:type="dxa" w:w="1626"/>
          </w:tcPr>
          <w:p>
            <w:pPr>
              <w:spacing w:after="0" w:line="240" w:lineRule="auto"/>
              <w:ind w:firstLine="0"/>
              <w:jc w:val="left"/>
            </w:pPr>
            <w:r/>
            <w:r>
              <w:rPr>
                <w:sz w:val="20"/>
              </w:rPr>
              <w:t>M5</w:t>
            </w:r>
          </w:p>
        </w:tc>
        <w:tc>
          <w:tcPr>
            <w:tcW w:type="dxa" w:w="1150"/>
          </w:tcPr>
          <w:p>
            <w:pPr>
              <w:spacing w:after="0" w:line="240" w:lineRule="auto"/>
              <w:ind w:firstLine="0"/>
              <w:jc w:val="left"/>
            </w:pPr>
            <w:r/>
            <w:r>
              <w:rPr>
                <w:sz w:val="20"/>
              </w:rPr>
              <w:t>174</w:t>
            </w:r>
          </w:p>
        </w:tc>
        <w:tc>
          <w:tcPr>
            <w:tcW w:type="dxa" w:w="2299"/>
          </w:tcPr>
          <w:p>
            <w:pPr>
              <w:spacing w:after="0" w:line="240" w:lineRule="auto"/>
              <w:ind w:firstLine="0"/>
              <w:jc w:val="left"/>
            </w:pPr>
            <w:r/>
            <w:r>
              <w:rPr>
                <w:sz w:val="20"/>
              </w:rPr>
              <w:t>0.54 (0.18–1.58)</w:t>
            </w:r>
          </w:p>
        </w:tc>
        <w:tc>
          <w:tcPr>
            <w:tcW w:type="dxa" w:w="1626"/>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2"/>
        <w:gridCol w:w="739"/>
        <w:gridCol w:w="978"/>
        <w:gridCol w:w="1695"/>
        <w:gridCol w:w="1886"/>
        <w:gridCol w:w="1957"/>
      </w:tblGrid>
      <w:tr>
        <w:trPr>
          <w:cantSplit w:val="true"/>
          <w:tblHeader w:val="true"/>
        </w:trPr>
        <w:tc>
          <w:tcPr>
            <w:tcW w:type="dxa" w:w="1812"/>
            <w:shd w:val="clear" w:fill="E7EEF6"/>
          </w:tcPr>
          <w:p>
            <w:pPr>
              <w:keepNext/>
              <w:spacing w:after="0" w:line="240" w:lineRule="auto"/>
              <w:ind w:firstLine="0"/>
              <w:jc w:val="left"/>
            </w:pPr>
            <w:r/>
            <w:r>
              <w:rPr>
                <w:b/>
                <w:sz w:val="20"/>
              </w:rPr>
              <w:t>Статус IDH</w:t>
            </w:r>
          </w:p>
        </w:tc>
        <w:tc>
          <w:tcPr>
            <w:tcW w:type="dxa" w:w="740"/>
            <w:shd w:val="clear" w:fill="E7EEF6"/>
          </w:tcPr>
          <w:p>
            <w:pPr>
              <w:keepNext/>
              <w:spacing w:after="0" w:line="240" w:lineRule="auto"/>
              <w:ind w:firstLine="0"/>
              <w:jc w:val="left"/>
            </w:pPr>
            <w:r/>
            <w:r>
              <w:rPr>
                <w:b/>
                <w:sz w:val="20"/>
              </w:rPr>
              <w:t>n</w:t>
            </w:r>
          </w:p>
        </w:tc>
        <w:tc>
          <w:tcPr>
            <w:tcW w:type="dxa" w:w="979"/>
            <w:shd w:val="clear" w:fill="E7EEF6"/>
          </w:tcPr>
          <w:p>
            <w:pPr>
              <w:keepNext/>
              <w:spacing w:after="0" w:line="240" w:lineRule="auto"/>
              <w:ind w:firstLine="0"/>
              <w:jc w:val="left"/>
            </w:pPr>
            <w:r/>
            <w:r>
              <w:rPr>
                <w:b/>
                <w:sz w:val="20"/>
              </w:rPr>
              <w:t>Смертей</w:t>
            </w:r>
          </w:p>
        </w:tc>
        <w:tc>
          <w:tcPr>
            <w:tcW w:type="dxa" w:w="1695"/>
            <w:shd w:val="clear" w:fill="E7EEF6"/>
          </w:tcPr>
          <w:p>
            <w:pPr>
              <w:keepNext/>
              <w:spacing w:after="0" w:line="240" w:lineRule="auto"/>
              <w:ind w:firstLine="0"/>
              <w:jc w:val="left"/>
            </w:pPr>
            <w:r/>
            <w:r>
              <w:rPr>
                <w:b/>
                <w:sz w:val="20"/>
              </w:rPr>
              <w:t>Медиана возраста, лет</w:t>
            </w:r>
          </w:p>
        </w:tc>
        <w:tc>
          <w:tcPr>
            <w:tcW w:type="dxa" w:w="1886"/>
            <w:shd w:val="clear" w:fill="E7EEF6"/>
          </w:tcPr>
          <w:p>
            <w:pPr>
              <w:keepNext/>
              <w:spacing w:after="0" w:line="240" w:lineRule="auto"/>
              <w:ind w:firstLine="0"/>
              <w:jc w:val="left"/>
            </w:pPr>
            <w:r/>
            <w:r>
              <w:rPr>
                <w:b/>
                <w:sz w:val="20"/>
              </w:rPr>
              <w:t>Медиана выживаемости, мес.</w:t>
            </w:r>
          </w:p>
        </w:tc>
        <w:tc>
          <w:tcPr>
            <w:tcW w:type="dxa" w:w="1958"/>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812"/>
          </w:tcPr>
          <w:p>
            <w:pPr>
              <w:keepNext/>
              <w:spacing w:after="0" w:line="240" w:lineRule="auto"/>
              <w:ind w:firstLine="0"/>
              <w:jc w:val="left"/>
            </w:pPr>
            <w:r/>
            <w:r>
              <w:rPr>
                <w:sz w:val="20"/>
              </w:rPr>
              <w:t>Мутантный</w:t>
            </w:r>
          </w:p>
        </w:tc>
        <w:tc>
          <w:tcPr>
            <w:tcW w:type="dxa" w:w="740"/>
          </w:tcPr>
          <w:p>
            <w:pPr>
              <w:keepNext/>
              <w:spacing w:after="0" w:line="240" w:lineRule="auto"/>
              <w:ind w:firstLine="0"/>
              <w:jc w:val="left"/>
            </w:pPr>
            <w:r/>
            <w:r>
              <w:rPr>
                <w:sz w:val="20"/>
              </w:rPr>
              <w:t>15</w:t>
            </w:r>
          </w:p>
        </w:tc>
        <w:tc>
          <w:tcPr>
            <w:tcW w:type="dxa" w:w="979"/>
          </w:tcPr>
          <w:p>
            <w:pPr>
              <w:keepNext/>
              <w:spacing w:after="0" w:line="240" w:lineRule="auto"/>
              <w:ind w:firstLine="0"/>
              <w:jc w:val="left"/>
            </w:pPr>
            <w:r/>
            <w:r>
              <w:rPr>
                <w:sz w:val="20"/>
              </w:rPr>
              <w:t>6</w:t>
            </w:r>
          </w:p>
        </w:tc>
        <w:tc>
          <w:tcPr>
            <w:tcW w:type="dxa" w:w="1695"/>
          </w:tcPr>
          <w:p>
            <w:pPr>
              <w:keepNext/>
              <w:spacing w:after="0" w:line="240" w:lineRule="auto"/>
              <w:ind w:firstLine="0"/>
              <w:jc w:val="left"/>
            </w:pPr>
            <w:r/>
            <w:r>
              <w:rPr>
                <w:sz w:val="20"/>
              </w:rPr>
              <w:t>40.0</w:t>
            </w:r>
          </w:p>
        </w:tc>
        <w:tc>
          <w:tcPr>
            <w:tcW w:type="dxa" w:w="1886"/>
          </w:tcPr>
          <w:p>
            <w:pPr>
              <w:keepNext/>
              <w:spacing w:after="0" w:line="240" w:lineRule="auto"/>
              <w:ind w:firstLine="0"/>
              <w:jc w:val="left"/>
            </w:pPr>
            <w:r/>
            <w:r>
              <w:rPr>
                <w:sz w:val="20"/>
              </w:rPr>
              <w:t>33.6</w:t>
            </w:r>
          </w:p>
        </w:tc>
        <w:tc>
          <w:tcPr>
            <w:tcW w:type="dxa" w:w="1958"/>
          </w:tcPr>
          <w:p>
            <w:pPr>
              <w:keepNext/>
              <w:spacing w:after="0" w:line="240" w:lineRule="auto"/>
              <w:ind w:firstLine="0"/>
              <w:jc w:val="left"/>
            </w:pPr>
            <w:r/>
            <w:r>
              <w:rPr>
                <w:sz w:val="20"/>
              </w:rPr>
              <w:t>—</w:t>
            </w:r>
          </w:p>
        </w:tc>
      </w:tr>
      <w:tr>
        <w:trPr>
          <w:cantSplit w:val="true"/>
        </w:trPr>
        <w:tc>
          <w:tcPr>
            <w:tcW w:type="dxa" w:w="1812"/>
          </w:tcPr>
          <w:p>
            <w:pPr>
              <w:keepNext/>
              <w:spacing w:after="0" w:line="240" w:lineRule="auto"/>
              <w:ind w:firstLine="0"/>
              <w:jc w:val="left"/>
            </w:pPr>
            <w:r/>
            <w:r>
              <w:rPr>
                <w:sz w:val="20"/>
              </w:rPr>
              <w:t>Дикий тип</w:t>
            </w:r>
          </w:p>
        </w:tc>
        <w:tc>
          <w:tcPr>
            <w:tcW w:type="dxa" w:w="740"/>
          </w:tcPr>
          <w:p>
            <w:pPr>
              <w:keepNext/>
              <w:spacing w:after="0" w:line="240" w:lineRule="auto"/>
              <w:ind w:firstLine="0"/>
              <w:jc w:val="left"/>
            </w:pPr>
            <w:r/>
            <w:r>
              <w:rPr>
                <w:sz w:val="20"/>
              </w:rPr>
              <w:t>270</w:t>
            </w:r>
          </w:p>
        </w:tc>
        <w:tc>
          <w:tcPr>
            <w:tcW w:type="dxa" w:w="979"/>
          </w:tcPr>
          <w:p>
            <w:pPr>
              <w:keepNext/>
              <w:spacing w:after="0" w:line="240" w:lineRule="auto"/>
              <w:ind w:firstLine="0"/>
              <w:jc w:val="left"/>
            </w:pPr>
            <w:r/>
            <w:r>
              <w:rPr>
                <w:sz w:val="20"/>
              </w:rPr>
              <w:t>220</w:t>
            </w:r>
          </w:p>
        </w:tc>
        <w:tc>
          <w:tcPr>
            <w:tcW w:type="dxa" w:w="1695"/>
          </w:tcPr>
          <w:p>
            <w:pPr>
              <w:keepNext/>
              <w:spacing w:after="0" w:line="240" w:lineRule="auto"/>
              <w:ind w:firstLine="0"/>
              <w:jc w:val="left"/>
            </w:pPr>
            <w:r/>
            <w:r>
              <w:rPr>
                <w:sz w:val="20"/>
              </w:rPr>
              <w:t>62.0</w:t>
            </w:r>
          </w:p>
        </w:tc>
        <w:tc>
          <w:tcPr>
            <w:tcW w:type="dxa" w:w="1886"/>
          </w:tcPr>
          <w:p>
            <w:pPr>
              <w:keepNext/>
              <w:spacing w:after="0" w:line="240" w:lineRule="auto"/>
              <w:ind w:firstLine="0"/>
              <w:jc w:val="left"/>
            </w:pPr>
            <w:r/>
            <w:r>
              <w:rPr>
                <w:sz w:val="20"/>
              </w:rPr>
              <w:t>12.9</w:t>
            </w:r>
          </w:p>
        </w:tc>
        <w:tc>
          <w:tcPr>
            <w:tcW w:type="dxa" w:w="1958"/>
          </w:tcPr>
          <w:p>
            <w:pPr>
              <w:keepNext/>
              <w:spacing w:after="0" w:line="240" w:lineRule="auto"/>
              <w:ind w:firstLine="0"/>
              <w:jc w:val="left"/>
            </w:pPr>
            <w:r/>
            <w:r>
              <w:rPr>
                <w:sz w:val="20"/>
              </w:rPr>
              <w:t>1.027 (1.014–1.040)</w:t>
            </w:r>
          </w:p>
        </w:tc>
      </w:tr>
      <w:tr>
        <w:trPr>
          <w:cantSplit w:val="true"/>
        </w:trPr>
        <w:tc>
          <w:tcPr>
            <w:tcW w:type="dxa" w:w="1812"/>
          </w:tcPr>
          <w:p>
            <w:pPr>
              <w:keepNext/>
              <w:spacing w:after="0" w:line="240" w:lineRule="auto"/>
              <w:ind w:firstLine="0"/>
              <w:jc w:val="left"/>
            </w:pPr>
            <w:r/>
            <w:r>
              <w:rPr>
                <w:sz w:val="20"/>
              </w:rPr>
              <w:t>Все с известным статусом</w:t>
            </w:r>
          </w:p>
        </w:tc>
        <w:tc>
          <w:tcPr>
            <w:tcW w:type="dxa" w:w="740"/>
          </w:tcPr>
          <w:p>
            <w:pPr>
              <w:keepNext/>
              <w:spacing w:after="0" w:line="240" w:lineRule="auto"/>
              <w:ind w:firstLine="0"/>
              <w:jc w:val="left"/>
            </w:pPr>
            <w:r/>
            <w:r>
              <w:rPr>
                <w:sz w:val="20"/>
              </w:rPr>
              <w:t>285</w:t>
            </w:r>
          </w:p>
        </w:tc>
        <w:tc>
          <w:tcPr>
            <w:tcW w:type="dxa" w:w="979"/>
          </w:tcPr>
          <w:p>
            <w:pPr>
              <w:keepNext/>
              <w:spacing w:after="0" w:line="240" w:lineRule="auto"/>
              <w:ind w:firstLine="0"/>
              <w:jc w:val="left"/>
            </w:pPr>
            <w:r/>
            <w:r>
              <w:rPr>
                <w:sz w:val="20"/>
              </w:rPr>
              <w:t>226</w:t>
            </w:r>
          </w:p>
        </w:tc>
        <w:tc>
          <w:tcPr>
            <w:tcW w:type="dxa" w:w="1695"/>
          </w:tcPr>
          <w:p>
            <w:pPr>
              <w:keepNext/>
              <w:spacing w:after="0" w:line="240" w:lineRule="auto"/>
              <w:ind w:firstLine="0"/>
              <w:jc w:val="left"/>
            </w:pPr>
            <w:r/>
            <w:r>
              <w:rPr>
                <w:sz w:val="20"/>
              </w:rPr>
              <w:t>—</w:t>
            </w:r>
          </w:p>
        </w:tc>
        <w:tc>
          <w:tcPr>
            <w:tcW w:type="dxa" w:w="1886"/>
          </w:tcPr>
          <w:p>
            <w:pPr>
              <w:keepNext/>
              <w:spacing w:after="0" w:line="240" w:lineRule="auto"/>
              <w:ind w:firstLine="0"/>
              <w:jc w:val="left"/>
            </w:pPr>
            <w:r/>
            <w:r>
              <w:rPr>
                <w:sz w:val="20"/>
              </w:rPr>
              <w:t>—</w:t>
            </w:r>
          </w:p>
        </w:tc>
        <w:tc>
          <w:tcPr>
            <w:tcW w:type="dxa" w:w="1958"/>
          </w:tcPr>
          <w:p>
            <w:pPr>
              <w:keepNext/>
              <w:spacing w:after="0" w:line="240" w:lineRule="auto"/>
              <w:ind w:firstLine="0"/>
              <w:jc w:val="left"/>
            </w:pPr>
            <w:r/>
            <w:r>
              <w:rPr>
                <w:sz w:val="20"/>
              </w:rPr>
              <w:t>1.031</w:t>
            </w:r>
          </w:p>
        </w:tc>
      </w:tr>
      <w:tr>
        <w:trPr>
          <w:cantSplit w:val="true"/>
        </w:trPr>
        <w:tc>
          <w:tcPr>
            <w:tcW w:type="dxa" w:w="1812"/>
          </w:tcPr>
          <w:p>
            <w:pPr>
              <w:spacing w:after="0" w:line="240" w:lineRule="auto"/>
              <w:ind w:firstLine="0"/>
              <w:jc w:val="left"/>
            </w:pPr>
            <w:r/>
            <w:r>
              <w:rPr>
                <w:sz w:val="20"/>
              </w:rPr>
              <w:t>Сравнение двух групп</w:t>
            </w:r>
          </w:p>
        </w:tc>
        <w:tc>
          <w:tcPr>
            <w:tcW w:type="dxa" w:w="740"/>
          </w:tcPr>
          <w:p>
            <w:pPr>
              <w:spacing w:after="0" w:line="240" w:lineRule="auto"/>
              <w:ind w:firstLine="0"/>
              <w:jc w:val="left"/>
            </w:pPr>
            <w:r/>
            <w:r>
              <w:rPr>
                <w:sz w:val="20"/>
              </w:rPr>
            </w:r>
          </w:p>
        </w:tc>
        <w:tc>
          <w:tcPr>
            <w:tcW w:type="dxa" w:w="979"/>
          </w:tcPr>
          <w:p>
            <w:pPr>
              <w:spacing w:after="0" w:line="240" w:lineRule="auto"/>
              <w:ind w:firstLine="0"/>
              <w:jc w:val="left"/>
            </w:pPr>
            <w:r/>
            <w:r>
              <w:rPr>
                <w:sz w:val="20"/>
              </w:rPr>
            </w:r>
          </w:p>
        </w:tc>
        <w:tc>
          <w:tcPr>
            <w:tcW w:type="dxa" w:w="1695"/>
          </w:tcPr>
          <w:p>
            <w:pPr>
              <w:spacing w:after="0" w:line="240" w:lineRule="auto"/>
              <w:ind w:firstLine="0"/>
              <w:jc w:val="left"/>
            </w:pPr>
            <w:r/>
            <w:r>
              <w:rPr>
                <w:sz w:val="20"/>
              </w:rPr>
              <w:t>p = 9.5 × 10⁻⁷</w:t>
            </w:r>
          </w:p>
        </w:tc>
        <w:tc>
          <w:tcPr>
            <w:tcW w:type="dxa" w:w="1886"/>
          </w:tcPr>
          <w:p>
            <w:pPr>
              <w:spacing w:after="0" w:line="240" w:lineRule="auto"/>
              <w:ind w:firstLine="0"/>
              <w:jc w:val="left"/>
            </w:pPr>
            <w:r/>
            <w:r>
              <w:rPr>
                <w:sz w:val="20"/>
              </w:rPr>
              <w:t>p = 0.001</w:t>
            </w:r>
          </w:p>
        </w:tc>
        <w:tc>
          <w:tcPr>
            <w:tcW w:type="dxa" w:w="1958"/>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552"/>
        <w:gridCol w:w="2302"/>
        <w:gridCol w:w="3216"/>
      </w:tblGrid>
      <w:tr>
        <w:trPr>
          <w:cantSplit w:val="true"/>
          <w:tblHeader w:val="true"/>
        </w:trPr>
        <w:tc>
          <w:tcPr>
            <w:tcW w:type="dxa" w:w="3552"/>
            <w:shd w:val="clear" w:fill="E7EEF6"/>
          </w:tcPr>
          <w:p>
            <w:pPr>
              <w:keepNext/>
              <w:spacing w:after="0" w:line="240" w:lineRule="auto"/>
              <w:ind w:firstLine="0"/>
              <w:jc w:val="left"/>
            </w:pPr>
            <w:r/>
            <w:r>
              <w:rPr>
                <w:b/>
                <w:sz w:val="20"/>
              </w:rPr>
              <w:t>Показатель</w:t>
            </w:r>
          </w:p>
        </w:tc>
        <w:tc>
          <w:tcPr>
            <w:tcW w:type="dxa" w:w="2302"/>
            <w:shd w:val="clear" w:fill="E7EEF6"/>
          </w:tcPr>
          <w:p>
            <w:pPr>
              <w:keepNext/>
              <w:spacing w:after="0" w:line="240" w:lineRule="auto"/>
              <w:ind w:firstLine="0"/>
              <w:jc w:val="left"/>
            </w:pPr>
            <w:r/>
            <w:r>
              <w:rPr>
                <w:b/>
                <w:sz w:val="20"/>
              </w:rPr>
              <w:t>TCGA-GBM (исходная)</w:t>
            </w:r>
          </w:p>
        </w:tc>
        <w:tc>
          <w:tcPr>
            <w:tcW w:type="dxa" w:w="3217"/>
            <w:shd w:val="clear" w:fill="E7EEF6"/>
          </w:tcPr>
          <w:p>
            <w:pPr>
              <w:keepNext/>
              <w:spacing w:after="0" w:line="240" w:lineRule="auto"/>
              <w:ind w:firstLine="0"/>
              <w:jc w:val="left"/>
            </w:pPr>
            <w:r/>
            <w:r>
              <w:rPr>
                <w:b/>
                <w:sz w:val="20"/>
              </w:rPr>
              <w:t>CGGA (валидационная)</w:t>
            </w:r>
          </w:p>
        </w:tc>
      </w:tr>
      <w:tr>
        <w:trPr>
          <w:cantSplit w:val="true"/>
        </w:trPr>
        <w:tc>
          <w:tcPr>
            <w:tcW w:type="dxa" w:w="3552"/>
          </w:tcPr>
          <w:p>
            <w:pPr>
              <w:keepNext/>
              <w:spacing w:after="0" w:line="240" w:lineRule="auto"/>
              <w:ind w:firstLine="0"/>
              <w:jc w:val="left"/>
            </w:pPr>
            <w:r/>
            <w:r>
              <w:rPr>
                <w:sz w:val="20"/>
              </w:rPr>
              <w:t>Пациенты / смерти</w:t>
            </w:r>
          </w:p>
        </w:tc>
        <w:tc>
          <w:tcPr>
            <w:tcW w:type="dxa" w:w="2302"/>
          </w:tcPr>
          <w:p>
            <w:pPr>
              <w:keepNext/>
              <w:spacing w:after="0" w:line="240" w:lineRule="auto"/>
              <w:ind w:firstLine="0"/>
              <w:jc w:val="left"/>
            </w:pPr>
            <w:r/>
            <w:r>
              <w:rPr>
                <w:sz w:val="20"/>
              </w:rPr>
              <w:t>593 / 492 (83.0 %)</w:t>
            </w:r>
          </w:p>
        </w:tc>
        <w:tc>
          <w:tcPr>
            <w:tcW w:type="dxa" w:w="3217"/>
          </w:tcPr>
          <w:p>
            <w:pPr>
              <w:keepNext/>
              <w:spacing w:after="0" w:line="240" w:lineRule="auto"/>
              <w:ind w:firstLine="0"/>
              <w:jc w:val="left"/>
            </w:pPr>
            <w:r/>
            <w:r>
              <w:rPr>
                <w:sz w:val="20"/>
              </w:rPr>
              <w:t>218 / 183 (83.9 %)</w:t>
            </w:r>
          </w:p>
        </w:tc>
      </w:tr>
      <w:tr>
        <w:trPr>
          <w:cantSplit w:val="true"/>
        </w:trPr>
        <w:tc>
          <w:tcPr>
            <w:tcW w:type="dxa" w:w="3552"/>
          </w:tcPr>
          <w:p>
            <w:pPr>
              <w:keepNext/>
              <w:spacing w:after="0" w:line="240" w:lineRule="auto"/>
              <w:ind w:firstLine="0"/>
              <w:jc w:val="left"/>
            </w:pPr>
            <w:r/>
            <w:r>
              <w:rPr>
                <w:sz w:val="20"/>
              </w:rPr>
              <w:t>Мужчины, %</w:t>
            </w:r>
          </w:p>
        </w:tc>
        <w:tc>
          <w:tcPr>
            <w:tcW w:type="dxa" w:w="2302"/>
          </w:tcPr>
          <w:p>
            <w:pPr>
              <w:keepNext/>
              <w:spacing w:after="0" w:line="240" w:lineRule="auto"/>
              <w:ind w:firstLine="0"/>
              <w:jc w:val="left"/>
            </w:pPr>
            <w:r/>
            <w:r>
              <w:rPr>
                <w:sz w:val="20"/>
              </w:rPr>
              <w:t>61.2</w:t>
            </w:r>
          </w:p>
        </w:tc>
        <w:tc>
          <w:tcPr>
            <w:tcW w:type="dxa" w:w="3217"/>
          </w:tcPr>
          <w:p>
            <w:pPr>
              <w:keepNext/>
              <w:spacing w:after="0" w:line="240" w:lineRule="auto"/>
              <w:ind w:firstLine="0"/>
              <w:jc w:val="left"/>
            </w:pPr>
            <w:r/>
            <w:r>
              <w:rPr>
                <w:sz w:val="20"/>
              </w:rPr>
              <w:t>61.0</w:t>
            </w:r>
          </w:p>
        </w:tc>
      </w:tr>
      <w:tr>
        <w:trPr>
          <w:cantSplit w:val="true"/>
        </w:trPr>
        <w:tc>
          <w:tcPr>
            <w:tcW w:type="dxa" w:w="3552"/>
          </w:tcPr>
          <w:p>
            <w:pPr>
              <w:keepNext/>
              <w:spacing w:after="0" w:line="240" w:lineRule="auto"/>
              <w:ind w:firstLine="0"/>
              <w:jc w:val="left"/>
            </w:pPr>
            <w:r/>
            <w:r>
              <w:rPr>
                <w:sz w:val="20"/>
              </w:rPr>
              <w:t>Возраст, лет: медиана (средняя половина); диапазон</w:t>
            </w:r>
          </w:p>
        </w:tc>
        <w:tc>
          <w:tcPr>
            <w:tcW w:type="dxa" w:w="2302"/>
          </w:tcPr>
          <w:p>
            <w:pPr>
              <w:keepNext/>
              <w:spacing w:after="0" w:line="240" w:lineRule="auto"/>
              <w:ind w:firstLine="0"/>
              <w:jc w:val="left"/>
            </w:pPr>
            <w:r/>
            <w:r>
              <w:rPr>
                <w:sz w:val="20"/>
              </w:rPr>
              <w:t>59 (50–68); 10–89</w:t>
            </w:r>
          </w:p>
        </w:tc>
        <w:tc>
          <w:tcPr>
            <w:tcW w:type="dxa" w:w="3217"/>
          </w:tcPr>
          <w:p>
            <w:pPr>
              <w:keepNext/>
              <w:spacing w:after="0" w:line="240" w:lineRule="auto"/>
              <w:ind w:firstLine="0"/>
              <w:jc w:val="left"/>
            </w:pPr>
            <w:r/>
            <w:r>
              <w:rPr>
                <w:sz w:val="20"/>
              </w:rPr>
              <w:t>54 (43–60); 11–79</w:t>
            </w:r>
          </w:p>
        </w:tc>
      </w:tr>
      <w:tr>
        <w:trPr>
          <w:cantSplit w:val="true"/>
        </w:trPr>
        <w:tc>
          <w:tcPr>
            <w:tcW w:type="dxa" w:w="3552"/>
          </w:tcPr>
          <w:p>
            <w:pPr>
              <w:keepNext/>
              <w:spacing w:after="0" w:line="240" w:lineRule="auto"/>
              <w:ind w:firstLine="0"/>
              <w:jc w:val="left"/>
            </w:pPr>
            <w:r/>
            <w:r>
              <w:rPr>
                <w:sz w:val="20"/>
              </w:rPr>
              <w:t>В возрасте 70 лет и старше, %</w:t>
            </w:r>
          </w:p>
        </w:tc>
        <w:tc>
          <w:tcPr>
            <w:tcW w:type="dxa" w:w="2302"/>
          </w:tcPr>
          <w:p>
            <w:pPr>
              <w:keepNext/>
              <w:spacing w:after="0" w:line="240" w:lineRule="auto"/>
              <w:ind w:firstLine="0"/>
              <w:jc w:val="left"/>
            </w:pPr>
            <w:r/>
            <w:r>
              <w:rPr>
                <w:sz w:val="20"/>
              </w:rPr>
              <w:t>21.6</w:t>
            </w:r>
          </w:p>
        </w:tc>
        <w:tc>
          <w:tcPr>
            <w:tcW w:type="dxa" w:w="3217"/>
          </w:tcPr>
          <w:p>
            <w:pPr>
              <w:keepNext/>
              <w:spacing w:after="0" w:line="240" w:lineRule="auto"/>
              <w:ind w:firstLine="0"/>
              <w:jc w:val="left"/>
            </w:pPr>
            <w:r/>
            <w:r>
              <w:rPr>
                <w:sz w:val="20"/>
              </w:rPr>
              <w:t>6.0</w:t>
            </w:r>
          </w:p>
        </w:tc>
      </w:tr>
      <w:tr>
        <w:trPr>
          <w:cantSplit w:val="true"/>
        </w:trPr>
        <w:tc>
          <w:tcPr>
            <w:tcW w:type="dxa" w:w="3552"/>
          </w:tcPr>
          <w:p>
            <w:pPr>
              <w:keepNext/>
              <w:spacing w:after="0" w:line="240" w:lineRule="auto"/>
              <w:ind w:firstLine="0"/>
              <w:jc w:val="left"/>
            </w:pPr>
            <w:r/>
            <w:r>
              <w:rPr>
                <w:sz w:val="20"/>
              </w:rPr>
              <w:t>Медиана времени наблюдения, мес.</w:t>
            </w:r>
          </w:p>
        </w:tc>
        <w:tc>
          <w:tcPr>
            <w:tcW w:type="dxa" w:w="2302"/>
          </w:tcPr>
          <w:p>
            <w:pPr>
              <w:keepNext/>
              <w:spacing w:after="0" w:line="240" w:lineRule="auto"/>
              <w:ind w:firstLine="0"/>
              <w:jc w:val="left"/>
            </w:pPr>
            <w:r/>
            <w:r>
              <w:rPr>
                <w:sz w:val="20"/>
              </w:rPr>
              <w:t>73.8</w:t>
            </w:r>
          </w:p>
        </w:tc>
        <w:tc>
          <w:tcPr>
            <w:tcW w:type="dxa" w:w="3217"/>
          </w:tcPr>
          <w:p>
            <w:pPr>
              <w:keepNext/>
              <w:spacing w:after="0" w:line="240" w:lineRule="auto"/>
              <w:ind w:firstLine="0"/>
              <w:jc w:val="left"/>
            </w:pPr>
            <w:r/>
            <w:r>
              <w:rPr>
                <w:sz w:val="20"/>
              </w:rPr>
              <w:t>69.6</w:t>
            </w:r>
          </w:p>
        </w:tc>
      </w:tr>
      <w:tr>
        <w:trPr>
          <w:cantSplit w:val="true"/>
        </w:trPr>
        <w:tc>
          <w:tcPr>
            <w:tcW w:type="dxa" w:w="3552"/>
          </w:tcPr>
          <w:p>
            <w:pPr>
              <w:keepNext/>
              <w:spacing w:after="0" w:line="240" w:lineRule="auto"/>
              <w:ind w:firstLine="0"/>
              <w:jc w:val="left"/>
            </w:pPr>
            <w:r/>
            <w:r>
              <w:rPr>
                <w:sz w:val="20"/>
              </w:rPr>
              <w:t>Медиана выживаемости, мес.</w:t>
            </w:r>
          </w:p>
        </w:tc>
        <w:tc>
          <w:tcPr>
            <w:tcW w:type="dxa" w:w="2302"/>
          </w:tcPr>
          <w:p>
            <w:pPr>
              <w:keepNext/>
              <w:spacing w:after="0" w:line="240" w:lineRule="auto"/>
              <w:ind w:firstLine="0"/>
              <w:jc w:val="left"/>
            </w:pPr>
            <w:r/>
            <w:r>
              <w:rPr>
                <w:sz w:val="20"/>
              </w:rPr>
              <w:t>14.0</w:t>
            </w:r>
          </w:p>
        </w:tc>
        <w:tc>
          <w:tcPr>
            <w:tcW w:type="dxa" w:w="3217"/>
          </w:tcPr>
          <w:p>
            <w:pPr>
              <w:keepNext/>
              <w:spacing w:after="0" w:line="240" w:lineRule="auto"/>
              <w:ind w:firstLine="0"/>
              <w:jc w:val="left"/>
            </w:pPr>
            <w:r/>
            <w:r>
              <w:rPr>
                <w:sz w:val="20"/>
              </w:rPr>
              <w:t>15.5</w:t>
            </w:r>
          </w:p>
        </w:tc>
      </w:tr>
      <w:tr>
        <w:trPr>
          <w:cantSplit w:val="true"/>
        </w:trPr>
        <w:tc>
          <w:tcPr>
            <w:tcW w:type="dxa" w:w="3552"/>
          </w:tcPr>
          <w:p>
            <w:pPr>
              <w:keepNext/>
              <w:spacing w:after="0" w:line="240" w:lineRule="auto"/>
              <w:ind w:firstLine="0"/>
              <w:jc w:val="left"/>
            </w:pPr>
            <w:r/>
            <w:r>
              <w:rPr>
                <w:sz w:val="20"/>
              </w:rPr>
              <w:t>Живы через 1 / 2 / 5 лет, %</w:t>
            </w:r>
          </w:p>
        </w:tc>
        <w:tc>
          <w:tcPr>
            <w:tcW w:type="dxa" w:w="2302"/>
          </w:tcPr>
          <w:p>
            <w:pPr>
              <w:keepNext/>
              <w:spacing w:after="0" w:line="240" w:lineRule="auto"/>
              <w:ind w:firstLine="0"/>
              <w:jc w:val="left"/>
            </w:pPr>
            <w:r/>
            <w:r>
              <w:rPr>
                <w:sz w:val="20"/>
              </w:rPr>
              <w:t>58.1 / 23.2 / 6.0</w:t>
            </w:r>
          </w:p>
        </w:tc>
        <w:tc>
          <w:tcPr>
            <w:tcW w:type="dxa" w:w="3217"/>
          </w:tcPr>
          <w:p>
            <w:pPr>
              <w:keepNext/>
              <w:spacing w:after="0" w:line="240" w:lineRule="auto"/>
              <w:ind w:firstLine="0"/>
              <w:jc w:val="left"/>
            </w:pPr>
            <w:r/>
            <w:r>
              <w:rPr>
                <w:sz w:val="20"/>
              </w:rPr>
              <w:t>63.2 / 32.1 / 14.4</w:t>
            </w:r>
          </w:p>
        </w:tc>
      </w:tr>
      <w:tr>
        <w:trPr>
          <w:cantSplit w:val="true"/>
        </w:trPr>
        <w:tc>
          <w:tcPr>
            <w:tcW w:type="dxa" w:w="3552"/>
          </w:tcPr>
          <w:p>
            <w:pPr>
              <w:keepNext/>
              <w:spacing w:after="0" w:line="240" w:lineRule="auto"/>
              <w:ind w:firstLine="0"/>
              <w:jc w:val="left"/>
            </w:pPr>
            <w:r/>
            <w:r>
              <w:rPr>
                <w:sz w:val="20"/>
              </w:rPr>
              <w:t>IDH известен; мутантный, n (%)</w:t>
            </w:r>
          </w:p>
        </w:tc>
        <w:tc>
          <w:tcPr>
            <w:tcW w:type="dxa" w:w="2302"/>
          </w:tcPr>
          <w:p>
            <w:pPr>
              <w:keepNext/>
              <w:spacing w:after="0" w:line="240" w:lineRule="auto"/>
              <w:ind w:firstLine="0"/>
              <w:jc w:val="left"/>
            </w:pPr>
            <w:r/>
            <w:r>
              <w:rPr>
                <w:sz w:val="20"/>
              </w:rPr>
              <w:t>285; 15 (5.3)</w:t>
            </w:r>
          </w:p>
        </w:tc>
        <w:tc>
          <w:tcPr>
            <w:tcW w:type="dxa" w:w="3217"/>
          </w:tcPr>
          <w:p>
            <w:pPr>
              <w:keepNext/>
              <w:spacing w:after="0" w:line="240" w:lineRule="auto"/>
              <w:ind w:firstLine="0"/>
              <w:jc w:val="left"/>
            </w:pPr>
            <w:r/>
            <w:r>
              <w:rPr>
                <w:sz w:val="20"/>
              </w:rPr>
              <w:t>211; 32 (15.2)</w:t>
            </w:r>
          </w:p>
        </w:tc>
      </w:tr>
      <w:tr>
        <w:trPr>
          <w:cantSplit w:val="true"/>
        </w:trPr>
        <w:tc>
          <w:tcPr>
            <w:tcW w:type="dxa" w:w="3552"/>
          </w:tcPr>
          <w:p>
            <w:pPr>
              <w:keepNext/>
              <w:spacing w:after="0" w:line="240" w:lineRule="auto"/>
              <w:ind w:firstLine="0"/>
              <w:jc w:val="left"/>
            </w:pPr>
            <w:r/>
            <w:r>
              <w:rPr>
                <w:sz w:val="20"/>
              </w:rPr>
              <w:t>MGMT известен; метилирован, n (%)</w:t>
            </w:r>
          </w:p>
        </w:tc>
        <w:tc>
          <w:tcPr>
            <w:tcW w:type="dxa" w:w="2302"/>
          </w:tcPr>
          <w:p>
            <w:pPr>
              <w:keepNext/>
              <w:spacing w:after="0" w:line="240" w:lineRule="auto"/>
              <w:ind w:firstLine="0"/>
              <w:jc w:val="left"/>
            </w:pPr>
            <w:r/>
            <w:r>
              <w:rPr>
                <w:sz w:val="20"/>
              </w:rPr>
              <w:t>413; 156 (37.8)</w:t>
            </w:r>
          </w:p>
        </w:tc>
        <w:tc>
          <w:tcPr>
            <w:tcW w:type="dxa" w:w="3217"/>
          </w:tcPr>
          <w:p>
            <w:pPr>
              <w:keepNext/>
              <w:spacing w:after="0" w:line="240" w:lineRule="auto"/>
              <w:ind w:firstLine="0"/>
              <w:jc w:val="left"/>
            </w:pPr>
            <w:r/>
            <w:r>
              <w:rPr>
                <w:sz w:val="20"/>
              </w:rPr>
              <w:t>200; 95 (47.5)</w:t>
            </w:r>
          </w:p>
        </w:tc>
      </w:tr>
      <w:tr>
        <w:trPr>
          <w:cantSplit w:val="true"/>
        </w:trPr>
        <w:tc>
          <w:tcPr>
            <w:tcW w:type="dxa" w:w="3552"/>
          </w:tcPr>
          <w:p>
            <w:pPr>
              <w:keepNext/>
              <w:spacing w:after="0" w:line="240" w:lineRule="auto"/>
              <w:ind w:firstLine="0"/>
              <w:jc w:val="left"/>
            </w:pPr>
            <w:r/>
            <w:r>
              <w:rPr>
                <w:sz w:val="20"/>
              </w:rPr>
              <w:t>Лучевая терапия / темозоломид записаны</w:t>
            </w:r>
          </w:p>
        </w:tc>
        <w:tc>
          <w:tcPr>
            <w:tcW w:type="dxa" w:w="2302"/>
          </w:tcPr>
          <w:p>
            <w:pPr>
              <w:keepNext/>
              <w:spacing w:after="0" w:line="240" w:lineRule="auto"/>
              <w:ind w:firstLine="0"/>
              <w:jc w:val="left"/>
            </w:pPr>
            <w:r/>
            <w:r>
              <w:rPr>
                <w:sz w:val="20"/>
              </w:rPr>
              <w:t>только у 24 пациентов</w:t>
            </w:r>
          </w:p>
        </w:tc>
        <w:tc>
          <w:tcPr>
            <w:tcW w:type="dxa" w:w="3217"/>
          </w:tcPr>
          <w:p>
            <w:pPr>
              <w:keepNext/>
              <w:spacing w:after="0" w:line="240" w:lineRule="auto"/>
              <w:ind w:firstLine="0"/>
              <w:jc w:val="left"/>
            </w:pPr>
            <w:r/>
            <w:r>
              <w:rPr>
                <w:sz w:val="20"/>
              </w:rPr>
              <w:t>211 / 210 пациентов; лечились 86 % / 81 %</w:t>
            </w:r>
          </w:p>
        </w:tc>
      </w:tr>
      <w:tr>
        <w:trPr>
          <w:cantSplit w:val="true"/>
        </w:trPr>
        <w:tc>
          <w:tcPr>
            <w:tcW w:type="dxa" w:w="3552"/>
          </w:tcPr>
          <w:p>
            <w:pPr>
              <w:spacing w:after="0" w:line="240" w:lineRule="auto"/>
              <w:ind w:firstLine="0"/>
              <w:jc w:val="left"/>
            </w:pPr>
            <w:r/>
            <w:r>
              <w:rPr>
                <w:sz w:val="20"/>
              </w:rPr>
              <w:t>Индекс Карновского записан</w:t>
            </w:r>
          </w:p>
        </w:tc>
        <w:tc>
          <w:tcPr>
            <w:tcW w:type="dxa" w:w="2302"/>
          </w:tcPr>
          <w:p>
            <w:pPr>
              <w:spacing w:after="0" w:line="240" w:lineRule="auto"/>
              <w:ind w:firstLine="0"/>
              <w:jc w:val="left"/>
            </w:pPr>
            <w:r/>
            <w:r>
              <w:rPr>
                <w:sz w:val="20"/>
              </w:rPr>
              <w:t>439 пациентов</w:t>
            </w:r>
          </w:p>
        </w:tc>
        <w:tc>
          <w:tcPr>
            <w:tcW w:type="dxa" w:w="3217"/>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57"/>
        <w:gridCol w:w="2532"/>
        <w:gridCol w:w="781"/>
        <w:gridCol w:w="1033"/>
        <w:gridCol w:w="1703"/>
        <w:gridCol w:w="957"/>
        <w:gridCol w:w="1105"/>
      </w:tblGrid>
      <w:tr>
        <w:trPr>
          <w:cantSplit w:val="true"/>
          <w:tblHeader w:val="true"/>
        </w:trPr>
        <w:tc>
          <w:tcPr>
            <w:tcW w:type="dxa" w:w="957"/>
            <w:shd w:val="clear" w:fill="E7EEF6"/>
          </w:tcPr>
          <w:p>
            <w:pPr>
              <w:keepNext/>
              <w:spacing w:after="0" w:line="240" w:lineRule="auto"/>
              <w:ind w:firstLine="0"/>
              <w:jc w:val="left"/>
            </w:pPr>
            <w:r/>
            <w:r>
              <w:rPr>
                <w:b/>
                <w:sz w:val="20"/>
              </w:rPr>
              <w:t>Модель</w:t>
            </w:r>
          </w:p>
        </w:tc>
        <w:tc>
          <w:tcPr>
            <w:tcW w:type="dxa" w:w="2532"/>
            <w:shd w:val="clear" w:fill="E7EEF6"/>
          </w:tcPr>
          <w:p>
            <w:pPr>
              <w:keepNext/>
              <w:spacing w:after="0" w:line="240" w:lineRule="auto"/>
              <w:ind w:firstLine="0"/>
              <w:jc w:val="left"/>
            </w:pPr>
            <w:r/>
            <w:r>
              <w:rPr>
                <w:b/>
                <w:sz w:val="20"/>
              </w:rPr>
              <w:t>Переменные</w:t>
            </w:r>
          </w:p>
        </w:tc>
        <w:tc>
          <w:tcPr>
            <w:tcW w:type="dxa" w:w="782"/>
            <w:shd w:val="clear" w:fill="E7EEF6"/>
          </w:tcPr>
          <w:p>
            <w:pPr>
              <w:keepNext/>
              <w:spacing w:after="0" w:line="240" w:lineRule="auto"/>
              <w:ind w:firstLine="0"/>
              <w:jc w:val="left"/>
            </w:pPr>
            <w:r/>
            <w:r>
              <w:rPr>
                <w:b/>
                <w:sz w:val="20"/>
              </w:rPr>
              <w:t>n</w:t>
            </w:r>
          </w:p>
        </w:tc>
        <w:tc>
          <w:tcPr>
            <w:tcW w:type="dxa" w:w="1034"/>
            <w:shd w:val="clear" w:fill="E7EEF6"/>
          </w:tcPr>
          <w:p>
            <w:pPr>
              <w:keepNext/>
              <w:spacing w:after="0" w:line="240" w:lineRule="auto"/>
              <w:ind w:firstLine="0"/>
              <w:jc w:val="left"/>
            </w:pPr>
            <w:r/>
            <w:r>
              <w:rPr>
                <w:b/>
                <w:sz w:val="20"/>
              </w:rPr>
              <w:t>Смертей</w:t>
            </w:r>
          </w:p>
        </w:tc>
        <w:tc>
          <w:tcPr>
            <w:tcW w:type="dxa" w:w="1703"/>
            <w:shd w:val="clear" w:fill="E7EEF6"/>
          </w:tcPr>
          <w:p>
            <w:pPr>
              <w:keepNext/>
              <w:spacing w:after="0" w:line="240" w:lineRule="auto"/>
              <w:ind w:firstLine="0"/>
              <w:jc w:val="left"/>
            </w:pPr>
            <w:r/>
            <w:r>
              <w:rPr>
                <w:b/>
                <w:sz w:val="20"/>
              </w:rPr>
              <w:t>ОР на год (95 % ДИ)</w:t>
            </w:r>
          </w:p>
        </w:tc>
        <w:tc>
          <w:tcPr>
            <w:tcW w:type="dxa" w:w="957"/>
            <w:shd w:val="clear" w:fill="E7EEF6"/>
          </w:tcPr>
          <w:p>
            <w:pPr>
              <w:keepNext/>
              <w:spacing w:after="0" w:line="240" w:lineRule="auto"/>
              <w:ind w:firstLine="0"/>
              <w:jc w:val="left"/>
            </w:pPr>
            <w:r/>
            <w:r>
              <w:rPr>
                <w:b/>
                <w:sz w:val="20"/>
              </w:rPr>
              <w:t>p</w:t>
            </w:r>
          </w:p>
        </w:tc>
        <w:tc>
          <w:tcPr>
            <w:tcW w:type="dxa" w:w="1105"/>
            <w:shd w:val="clear" w:fill="E7EEF6"/>
          </w:tcPr>
          <w:p>
            <w:pPr>
              <w:keepNext/>
              <w:spacing w:after="0" w:line="240" w:lineRule="auto"/>
              <w:ind w:firstLine="0"/>
              <w:jc w:val="left"/>
            </w:pPr>
            <w:r/>
            <w:r>
              <w:rPr>
                <w:b/>
                <w:sz w:val="20"/>
              </w:rPr>
              <w:t>C-индекс</w:t>
            </w:r>
          </w:p>
        </w:tc>
      </w:tr>
      <w:tr>
        <w:trPr>
          <w:cantSplit w:val="true"/>
        </w:trPr>
        <w:tc>
          <w:tcPr>
            <w:tcW w:type="dxa" w:w="957"/>
          </w:tcPr>
          <w:p>
            <w:pPr>
              <w:keepNext/>
              <w:spacing w:after="0" w:line="240" w:lineRule="auto"/>
              <w:ind w:firstLine="0"/>
              <w:jc w:val="left"/>
            </w:pPr>
            <w:r/>
            <w:r>
              <w:rPr>
                <w:sz w:val="20"/>
              </w:rPr>
              <w:t>M1</w:t>
            </w:r>
          </w:p>
        </w:tc>
        <w:tc>
          <w:tcPr>
            <w:tcW w:type="dxa" w:w="2532"/>
          </w:tcPr>
          <w:p>
            <w:pPr>
              <w:keepNext/>
              <w:spacing w:after="0" w:line="240" w:lineRule="auto"/>
              <w:ind w:firstLine="0"/>
              <w:jc w:val="left"/>
            </w:pPr>
            <w:r/>
            <w:r>
              <w:rPr>
                <w:sz w:val="20"/>
              </w:rPr>
              <w:t>возраст</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0.0008</w:t>
            </w:r>
          </w:p>
        </w:tc>
        <w:tc>
          <w:tcPr>
            <w:tcW w:type="dxa" w:w="1105"/>
          </w:tcPr>
          <w:p>
            <w:pPr>
              <w:keepNext/>
              <w:spacing w:after="0" w:line="240" w:lineRule="auto"/>
              <w:ind w:firstLine="0"/>
              <w:jc w:val="left"/>
            </w:pPr>
            <w:r/>
            <w:r>
              <w:rPr>
                <w:sz w:val="20"/>
              </w:rPr>
              <w:t>0.580</w:t>
            </w:r>
          </w:p>
        </w:tc>
      </w:tr>
      <w:tr>
        <w:trPr>
          <w:cantSplit w:val="true"/>
        </w:trPr>
        <w:tc>
          <w:tcPr>
            <w:tcW w:type="dxa" w:w="957"/>
          </w:tcPr>
          <w:p>
            <w:pPr>
              <w:keepNext/>
              <w:spacing w:after="0" w:line="240" w:lineRule="auto"/>
              <w:ind w:firstLine="0"/>
              <w:jc w:val="left"/>
            </w:pPr>
            <w:r/>
            <w:r>
              <w:rPr>
                <w:sz w:val="20"/>
              </w:rPr>
              <w:t>M2</w:t>
            </w:r>
          </w:p>
        </w:tc>
        <w:tc>
          <w:tcPr>
            <w:tcW w:type="dxa" w:w="2532"/>
          </w:tcPr>
          <w:p>
            <w:pPr>
              <w:keepNext/>
              <w:spacing w:after="0" w:line="240" w:lineRule="auto"/>
              <w:ind w:firstLine="0"/>
              <w:jc w:val="left"/>
            </w:pPr>
            <w:r/>
            <w:r>
              <w:rPr>
                <w:sz w:val="20"/>
              </w:rPr>
              <w:t>возраст, пол</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0.0009</w:t>
            </w:r>
          </w:p>
        </w:tc>
        <w:tc>
          <w:tcPr>
            <w:tcW w:type="dxa" w:w="1105"/>
          </w:tcPr>
          <w:p>
            <w:pPr>
              <w:keepNext/>
              <w:spacing w:after="0" w:line="240" w:lineRule="auto"/>
              <w:ind w:firstLine="0"/>
              <w:jc w:val="left"/>
            </w:pPr>
            <w:r/>
            <w:r>
              <w:rPr>
                <w:sz w:val="20"/>
              </w:rPr>
              <w:t>0.578</w:t>
            </w:r>
          </w:p>
        </w:tc>
      </w:tr>
      <w:tr>
        <w:trPr>
          <w:cantSplit w:val="true"/>
        </w:trPr>
        <w:tc>
          <w:tcPr>
            <w:tcW w:type="dxa" w:w="957"/>
          </w:tcPr>
          <w:p>
            <w:pPr>
              <w:keepNext/>
              <w:spacing w:after="0" w:line="240" w:lineRule="auto"/>
              <w:ind w:firstLine="0"/>
              <w:jc w:val="left"/>
            </w:pPr>
            <w:r/>
            <w:r>
              <w:rPr>
                <w:sz w:val="20"/>
              </w:rPr>
              <w:t>M2t</w:t>
            </w:r>
          </w:p>
        </w:tc>
        <w:tc>
          <w:tcPr>
            <w:tcW w:type="dxa" w:w="2532"/>
          </w:tcPr>
          <w:p>
            <w:pPr>
              <w:keepNext/>
              <w:spacing w:after="0" w:line="240" w:lineRule="auto"/>
              <w:ind w:firstLine="0"/>
              <w:jc w:val="left"/>
            </w:pPr>
            <w:r/>
            <w:r>
              <w:rPr>
                <w:sz w:val="20"/>
              </w:rPr>
              <w:t>возраст, пол, лучевая терапия, темозоломид</w:t>
            </w:r>
          </w:p>
        </w:tc>
        <w:tc>
          <w:tcPr>
            <w:tcW w:type="dxa" w:w="782"/>
          </w:tcPr>
          <w:p>
            <w:pPr>
              <w:keepNext/>
              <w:spacing w:after="0" w:line="240" w:lineRule="auto"/>
              <w:ind w:firstLine="0"/>
              <w:jc w:val="left"/>
            </w:pPr>
            <w:r/>
            <w:r>
              <w:rPr>
                <w:sz w:val="20"/>
              </w:rPr>
              <w:t>210</w:t>
            </w:r>
          </w:p>
        </w:tc>
        <w:tc>
          <w:tcPr>
            <w:tcW w:type="dxa" w:w="1034"/>
          </w:tcPr>
          <w:p>
            <w:pPr>
              <w:keepNext/>
              <w:spacing w:after="0" w:line="240" w:lineRule="auto"/>
              <w:ind w:firstLine="0"/>
              <w:jc w:val="left"/>
            </w:pPr>
            <w:r/>
            <w:r>
              <w:rPr>
                <w:sz w:val="20"/>
              </w:rPr>
              <w:t>175</w:t>
            </w:r>
          </w:p>
        </w:tc>
        <w:tc>
          <w:tcPr>
            <w:tcW w:type="dxa" w:w="1703"/>
          </w:tcPr>
          <w:p>
            <w:pPr>
              <w:keepNext/>
              <w:spacing w:after="0" w:line="240" w:lineRule="auto"/>
              <w:ind w:firstLine="0"/>
              <w:jc w:val="left"/>
            </w:pPr>
            <w:r/>
            <w:r>
              <w:rPr>
                <w:sz w:val="20"/>
              </w:rPr>
              <w:t>1.022 (1.010–1.035)</w:t>
            </w:r>
          </w:p>
        </w:tc>
        <w:tc>
          <w:tcPr>
            <w:tcW w:type="dxa" w:w="957"/>
          </w:tcPr>
          <w:p>
            <w:pPr>
              <w:keepNext/>
              <w:spacing w:after="0" w:line="240" w:lineRule="auto"/>
              <w:ind w:firstLine="0"/>
              <w:jc w:val="left"/>
            </w:pPr>
            <w:r/>
            <w:r>
              <w:rPr>
                <w:sz w:val="20"/>
              </w:rPr>
              <w:t>0.0004</w:t>
            </w:r>
          </w:p>
        </w:tc>
        <w:tc>
          <w:tcPr>
            <w:tcW w:type="dxa" w:w="1105"/>
          </w:tcPr>
          <w:p>
            <w:pPr>
              <w:keepNext/>
              <w:spacing w:after="0" w:line="240" w:lineRule="auto"/>
              <w:ind w:firstLine="0"/>
              <w:jc w:val="left"/>
            </w:pPr>
            <w:r/>
            <w:r>
              <w:rPr>
                <w:sz w:val="20"/>
              </w:rPr>
              <w:t>0.618</w:t>
            </w:r>
          </w:p>
        </w:tc>
      </w:tr>
      <w:tr>
        <w:trPr>
          <w:cantSplit w:val="true"/>
        </w:trPr>
        <w:tc>
          <w:tcPr>
            <w:tcW w:type="dxa" w:w="957"/>
          </w:tcPr>
          <w:p>
            <w:pPr>
              <w:keepNext/>
              <w:spacing w:after="0" w:line="240" w:lineRule="auto"/>
              <w:ind w:firstLine="0"/>
              <w:jc w:val="left"/>
            </w:pPr>
            <w:r/>
            <w:r>
              <w:rPr>
                <w:sz w:val="20"/>
              </w:rPr>
              <w:t>M3</w:t>
            </w:r>
          </w:p>
        </w:tc>
        <w:tc>
          <w:tcPr>
            <w:tcW w:type="dxa" w:w="2532"/>
          </w:tcPr>
          <w:p>
            <w:pPr>
              <w:keepNext/>
              <w:spacing w:after="0" w:line="240" w:lineRule="auto"/>
              <w:ind w:firstLine="0"/>
              <w:jc w:val="left"/>
            </w:pPr>
            <w:r/>
            <w:r>
              <w:rPr>
                <w:sz w:val="20"/>
              </w:rPr>
              <w:t>возраст, MGMT</w:t>
            </w:r>
          </w:p>
        </w:tc>
        <w:tc>
          <w:tcPr>
            <w:tcW w:type="dxa" w:w="782"/>
          </w:tcPr>
          <w:p>
            <w:pPr>
              <w:keepNext/>
              <w:spacing w:after="0" w:line="240" w:lineRule="auto"/>
              <w:ind w:firstLine="0"/>
              <w:jc w:val="left"/>
            </w:pPr>
            <w:r/>
            <w:r>
              <w:rPr>
                <w:sz w:val="20"/>
              </w:rPr>
              <w:t>200</w:t>
            </w:r>
          </w:p>
        </w:tc>
        <w:tc>
          <w:tcPr>
            <w:tcW w:type="dxa" w:w="1034"/>
          </w:tcPr>
          <w:p>
            <w:pPr>
              <w:keepNext/>
              <w:spacing w:after="0" w:line="240" w:lineRule="auto"/>
              <w:ind w:firstLine="0"/>
              <w:jc w:val="left"/>
            </w:pPr>
            <w:r/>
            <w:r>
              <w:rPr>
                <w:sz w:val="20"/>
              </w:rPr>
              <w:t>168</w:t>
            </w:r>
          </w:p>
        </w:tc>
        <w:tc>
          <w:tcPr>
            <w:tcW w:type="dxa" w:w="1703"/>
          </w:tcPr>
          <w:p>
            <w:pPr>
              <w:keepNext/>
              <w:spacing w:after="0" w:line="240" w:lineRule="auto"/>
              <w:ind w:firstLine="0"/>
              <w:jc w:val="left"/>
            </w:pPr>
            <w:r/>
            <w:r>
              <w:rPr>
                <w:sz w:val="20"/>
              </w:rPr>
              <w:t>1.018 (1.006–1.031)</w:t>
            </w:r>
          </w:p>
        </w:tc>
        <w:tc>
          <w:tcPr>
            <w:tcW w:type="dxa" w:w="957"/>
          </w:tcPr>
          <w:p>
            <w:pPr>
              <w:keepNext/>
              <w:spacing w:after="0" w:line="240" w:lineRule="auto"/>
              <w:ind w:firstLine="0"/>
              <w:jc w:val="left"/>
            </w:pPr>
            <w:r/>
            <w:r>
              <w:rPr>
                <w:sz w:val="20"/>
              </w:rPr>
              <w:t>0.0032</w:t>
            </w:r>
          </w:p>
        </w:tc>
        <w:tc>
          <w:tcPr>
            <w:tcW w:type="dxa" w:w="1105"/>
          </w:tcPr>
          <w:p>
            <w:pPr>
              <w:keepNext/>
              <w:spacing w:after="0" w:line="240" w:lineRule="auto"/>
              <w:ind w:firstLine="0"/>
              <w:jc w:val="left"/>
            </w:pPr>
            <w:r/>
            <w:r>
              <w:rPr>
                <w:sz w:val="20"/>
              </w:rPr>
              <w:t>0.563</w:t>
            </w:r>
          </w:p>
        </w:tc>
      </w:tr>
      <w:tr>
        <w:trPr>
          <w:cantSplit w:val="true"/>
        </w:trPr>
        <w:tc>
          <w:tcPr>
            <w:tcW w:type="dxa" w:w="957"/>
          </w:tcPr>
          <w:p>
            <w:pPr>
              <w:keepNext/>
              <w:spacing w:after="0" w:line="240" w:lineRule="auto"/>
              <w:ind w:firstLine="0"/>
              <w:jc w:val="left"/>
            </w:pPr>
            <w:r/>
            <w:r>
              <w:rPr>
                <w:sz w:val="20"/>
              </w:rPr>
              <w:t>M4</w:t>
            </w:r>
          </w:p>
        </w:tc>
        <w:tc>
          <w:tcPr>
            <w:tcW w:type="dxa" w:w="2532"/>
          </w:tcPr>
          <w:p>
            <w:pPr>
              <w:keepNext/>
              <w:spacing w:after="0" w:line="240" w:lineRule="auto"/>
              <w:ind w:firstLine="0"/>
              <w:jc w:val="left"/>
            </w:pPr>
            <w:r/>
            <w:r>
              <w:rPr>
                <w:sz w:val="20"/>
              </w:rPr>
              <w:t>возраст, IDH</w:t>
            </w:r>
          </w:p>
        </w:tc>
        <w:tc>
          <w:tcPr>
            <w:tcW w:type="dxa" w:w="782"/>
          </w:tcPr>
          <w:p>
            <w:pPr>
              <w:keepNext/>
              <w:spacing w:after="0" w:line="240" w:lineRule="auto"/>
              <w:ind w:firstLine="0"/>
              <w:jc w:val="left"/>
            </w:pPr>
            <w:r/>
            <w:r>
              <w:rPr>
                <w:sz w:val="20"/>
              </w:rPr>
              <w:t>211</w:t>
            </w:r>
          </w:p>
        </w:tc>
        <w:tc>
          <w:tcPr>
            <w:tcW w:type="dxa" w:w="1034"/>
          </w:tcPr>
          <w:p>
            <w:pPr>
              <w:keepNext/>
              <w:spacing w:after="0" w:line="240" w:lineRule="auto"/>
              <w:ind w:firstLine="0"/>
              <w:jc w:val="left"/>
            </w:pPr>
            <w:r/>
            <w:r>
              <w:rPr>
                <w:sz w:val="20"/>
              </w:rPr>
              <w:t>179</w:t>
            </w:r>
          </w:p>
        </w:tc>
        <w:tc>
          <w:tcPr>
            <w:tcW w:type="dxa" w:w="1703"/>
          </w:tcPr>
          <w:p>
            <w:pPr>
              <w:keepNext/>
              <w:spacing w:after="0" w:line="240" w:lineRule="auto"/>
              <w:ind w:firstLine="0"/>
              <w:jc w:val="left"/>
            </w:pPr>
            <w:r/>
            <w:r>
              <w:rPr>
                <w:sz w:val="20"/>
              </w:rPr>
              <w:t>1.015 (1.004–1.027)</w:t>
            </w:r>
          </w:p>
        </w:tc>
        <w:tc>
          <w:tcPr>
            <w:tcW w:type="dxa" w:w="957"/>
          </w:tcPr>
          <w:p>
            <w:pPr>
              <w:keepNext/>
              <w:spacing w:after="0" w:line="240" w:lineRule="auto"/>
              <w:ind w:firstLine="0"/>
              <w:jc w:val="left"/>
            </w:pPr>
            <w:r/>
            <w:r>
              <w:rPr>
                <w:sz w:val="20"/>
              </w:rPr>
              <w:t>0.011</w:t>
            </w:r>
          </w:p>
        </w:tc>
        <w:tc>
          <w:tcPr>
            <w:tcW w:type="dxa" w:w="1105"/>
          </w:tcPr>
          <w:p>
            <w:pPr>
              <w:keepNext/>
              <w:spacing w:after="0" w:line="240" w:lineRule="auto"/>
              <w:ind w:firstLine="0"/>
              <w:jc w:val="left"/>
            </w:pPr>
            <w:r/>
            <w:r>
              <w:rPr>
                <w:sz w:val="20"/>
              </w:rPr>
              <w:t>0.595</w:t>
            </w:r>
          </w:p>
        </w:tc>
      </w:tr>
      <w:tr>
        <w:trPr>
          <w:cantSplit w:val="true"/>
        </w:trPr>
        <w:tc>
          <w:tcPr>
            <w:tcW w:type="dxa" w:w="957"/>
          </w:tcPr>
          <w:p>
            <w:pPr>
              <w:spacing w:after="0" w:line="240" w:lineRule="auto"/>
              <w:ind w:firstLine="0"/>
              <w:jc w:val="left"/>
            </w:pPr>
            <w:r/>
            <w:r>
              <w:rPr>
                <w:sz w:val="20"/>
              </w:rPr>
              <w:t>M5</w:t>
            </w:r>
          </w:p>
        </w:tc>
        <w:tc>
          <w:tcPr>
            <w:tcW w:type="dxa" w:w="2532"/>
          </w:tcPr>
          <w:p>
            <w:pPr>
              <w:spacing w:after="0" w:line="240" w:lineRule="auto"/>
              <w:ind w:firstLine="0"/>
              <w:jc w:val="left"/>
            </w:pPr>
            <w:r/>
            <w:r>
              <w:rPr>
                <w:sz w:val="20"/>
              </w:rPr>
              <w:t>возраст, пол, ЛТ, ТМЗ, MGMT, IDH</w:t>
            </w:r>
          </w:p>
        </w:tc>
        <w:tc>
          <w:tcPr>
            <w:tcW w:type="dxa" w:w="782"/>
          </w:tcPr>
          <w:p>
            <w:pPr>
              <w:spacing w:after="0" w:line="240" w:lineRule="auto"/>
              <w:ind w:firstLine="0"/>
              <w:jc w:val="left"/>
            </w:pPr>
            <w:r/>
            <w:r>
              <w:rPr>
                <w:sz w:val="20"/>
              </w:rPr>
              <w:t>188</w:t>
            </w:r>
          </w:p>
        </w:tc>
        <w:tc>
          <w:tcPr>
            <w:tcW w:type="dxa" w:w="1034"/>
          </w:tcPr>
          <w:p>
            <w:pPr>
              <w:spacing w:after="0" w:line="240" w:lineRule="auto"/>
              <w:ind w:firstLine="0"/>
              <w:jc w:val="left"/>
            </w:pPr>
            <w:r/>
            <w:r>
              <w:rPr>
                <w:sz w:val="20"/>
              </w:rPr>
              <w:t>159</w:t>
            </w:r>
          </w:p>
        </w:tc>
        <w:tc>
          <w:tcPr>
            <w:tcW w:type="dxa" w:w="1703"/>
          </w:tcPr>
          <w:p>
            <w:pPr>
              <w:spacing w:after="0" w:line="240" w:lineRule="auto"/>
              <w:ind w:firstLine="0"/>
              <w:jc w:val="left"/>
            </w:pPr>
            <w:r/>
            <w:r>
              <w:rPr>
                <w:sz w:val="20"/>
              </w:rPr>
              <w:t>1.016 (1.003–1.029)</w:t>
            </w:r>
          </w:p>
        </w:tc>
        <w:tc>
          <w:tcPr>
            <w:tcW w:type="dxa" w:w="957"/>
          </w:tcPr>
          <w:p>
            <w:pPr>
              <w:spacing w:after="0" w:line="240" w:lineRule="auto"/>
              <w:ind w:firstLine="0"/>
              <w:jc w:val="left"/>
            </w:pPr>
            <w:r/>
            <w:r>
              <w:rPr>
                <w:sz w:val="20"/>
              </w:rPr>
              <w:t>0.016</w:t>
            </w:r>
          </w:p>
        </w:tc>
        <w:tc>
          <w:tcPr>
            <w:tcW w:type="dxa" w:w="1105"/>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77"/>
        <w:gridCol w:w="2290"/>
        <w:gridCol w:w="2078"/>
        <w:gridCol w:w="1924"/>
      </w:tblGrid>
      <w:tr>
        <w:trPr>
          <w:cantSplit w:val="true"/>
          <w:tblHeader w:val="true"/>
        </w:trPr>
        <w:tc>
          <w:tcPr>
            <w:tcW w:type="dxa" w:w="2778"/>
            <w:shd w:val="clear" w:fill="E7EEF6"/>
          </w:tcPr>
          <w:p>
            <w:pPr>
              <w:keepNext/>
              <w:spacing w:after="0" w:line="240" w:lineRule="auto"/>
              <w:ind w:firstLine="0"/>
              <w:jc w:val="left"/>
            </w:pPr>
            <w:r/>
            <w:r>
              <w:rPr>
                <w:b/>
                <w:sz w:val="20"/>
              </w:rPr>
              <w:t>Набор поправок</w:t>
            </w:r>
          </w:p>
        </w:tc>
        <w:tc>
          <w:tcPr>
            <w:tcW w:type="dxa" w:w="2290"/>
            <w:shd w:val="clear" w:fill="E7EEF6"/>
          </w:tcPr>
          <w:p>
            <w:pPr>
              <w:keepNext/>
              <w:spacing w:after="0" w:line="240" w:lineRule="auto"/>
              <w:ind w:firstLine="0"/>
              <w:jc w:val="left"/>
            </w:pPr>
            <w:r/>
            <w:r>
              <w:rPr>
                <w:b/>
                <w:sz w:val="20"/>
              </w:rPr>
              <w:t>TCGA: ОР на год (95 % ДИ), n</w:t>
            </w:r>
          </w:p>
        </w:tc>
        <w:tc>
          <w:tcPr>
            <w:tcW w:type="dxa" w:w="2079"/>
            <w:shd w:val="clear" w:fill="E7EEF6"/>
          </w:tcPr>
          <w:p>
            <w:pPr>
              <w:keepNext/>
              <w:spacing w:after="0" w:line="240" w:lineRule="auto"/>
              <w:ind w:firstLine="0"/>
              <w:jc w:val="left"/>
            </w:pPr>
            <w:r/>
            <w:r>
              <w:rPr>
                <w:b/>
                <w:sz w:val="20"/>
              </w:rPr>
              <w:t>CGGA: ОР на год (95 % ДИ), n</w:t>
            </w:r>
          </w:p>
        </w:tc>
        <w:tc>
          <w:tcPr>
            <w:tcW w:type="dxa" w:w="1924"/>
            <w:shd w:val="clear" w:fill="E7EEF6"/>
          </w:tcPr>
          <w:p>
            <w:pPr>
              <w:keepNext/>
              <w:spacing w:after="0" w:line="240" w:lineRule="auto"/>
              <w:ind w:firstLine="0"/>
              <w:jc w:val="left"/>
            </w:pPr>
            <w:r/>
            <w:r>
              <w:rPr>
                <w:b/>
                <w:sz w:val="20"/>
              </w:rPr>
              <w:t>p гетерогенности</w:t>
            </w:r>
          </w:p>
        </w:tc>
      </w:tr>
      <w:tr>
        <w:trPr>
          <w:cantSplit w:val="true"/>
        </w:trPr>
        <w:tc>
          <w:tcPr>
            <w:tcW w:type="dxa" w:w="2778"/>
          </w:tcPr>
          <w:p>
            <w:pPr>
              <w:keepNext/>
              <w:spacing w:after="0" w:line="240" w:lineRule="auto"/>
              <w:ind w:firstLine="0"/>
              <w:jc w:val="left"/>
            </w:pPr>
            <w:r/>
            <w:r>
              <w:rPr>
                <w:sz w:val="20"/>
              </w:rPr>
              <w:t>Только возраст</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0.044</w:t>
            </w:r>
          </w:p>
        </w:tc>
      </w:tr>
      <w:tr>
        <w:trPr>
          <w:cantSplit w:val="true"/>
        </w:trPr>
        <w:tc>
          <w:tcPr>
            <w:tcW w:type="dxa" w:w="2778"/>
          </w:tcPr>
          <w:p>
            <w:pPr>
              <w:keepNext/>
              <w:spacing w:after="0" w:line="240" w:lineRule="auto"/>
              <w:ind w:firstLine="0"/>
              <w:jc w:val="left"/>
            </w:pPr>
            <w:r/>
            <w:r>
              <w:rPr>
                <w:sz w:val="20"/>
              </w:rPr>
              <w:t>+ пол</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0.043</w:t>
            </w:r>
          </w:p>
        </w:tc>
      </w:tr>
      <w:tr>
        <w:trPr>
          <w:cantSplit w:val="true"/>
        </w:trPr>
        <w:tc>
          <w:tcPr>
            <w:tcW w:type="dxa" w:w="2778"/>
          </w:tcPr>
          <w:p>
            <w:pPr>
              <w:keepNext/>
              <w:spacing w:after="0" w:line="240" w:lineRule="auto"/>
              <w:ind w:firstLine="0"/>
              <w:jc w:val="left"/>
            </w:pPr>
            <w:r/>
            <w:r>
              <w:rPr>
                <w:sz w:val="20"/>
              </w:rPr>
              <w:t>+ MGMT</w:t>
            </w:r>
          </w:p>
        </w:tc>
        <w:tc>
          <w:tcPr>
            <w:tcW w:type="dxa" w:w="2290"/>
          </w:tcPr>
          <w:p>
            <w:pPr>
              <w:keepNext/>
              <w:spacing w:after="0" w:line="240" w:lineRule="auto"/>
              <w:ind w:firstLine="0"/>
              <w:jc w:val="left"/>
            </w:pPr>
            <w:r/>
            <w:r>
              <w:rPr>
                <w:sz w:val="20"/>
              </w:rPr>
              <w:t>1.036 (1.027–1.046), 413</w:t>
            </w:r>
          </w:p>
        </w:tc>
        <w:tc>
          <w:tcPr>
            <w:tcW w:type="dxa" w:w="2079"/>
          </w:tcPr>
          <w:p>
            <w:pPr>
              <w:keepNext/>
              <w:spacing w:after="0" w:line="240" w:lineRule="auto"/>
              <w:ind w:firstLine="0"/>
              <w:jc w:val="left"/>
            </w:pPr>
            <w:r/>
            <w:r>
              <w:rPr>
                <w:sz w:val="20"/>
              </w:rPr>
              <w:t>1.018 (1.006–1.031), 200</w:t>
            </w:r>
          </w:p>
        </w:tc>
        <w:tc>
          <w:tcPr>
            <w:tcW w:type="dxa" w:w="1924"/>
          </w:tcPr>
          <w:p>
            <w:pPr>
              <w:keepNext/>
              <w:spacing w:after="0" w:line="240" w:lineRule="auto"/>
              <w:ind w:firstLine="0"/>
              <w:jc w:val="left"/>
            </w:pPr>
            <w:r/>
            <w:r>
              <w:rPr>
                <w:sz w:val="20"/>
              </w:rPr>
              <w:t>0.021</w:t>
            </w:r>
          </w:p>
        </w:tc>
      </w:tr>
      <w:tr>
        <w:trPr>
          <w:cantSplit w:val="true"/>
        </w:trPr>
        <w:tc>
          <w:tcPr>
            <w:tcW w:type="dxa" w:w="2778"/>
          </w:tcPr>
          <w:p>
            <w:pPr>
              <w:keepNext/>
              <w:spacing w:after="0" w:line="240" w:lineRule="auto"/>
              <w:ind w:firstLine="0"/>
              <w:jc w:val="left"/>
            </w:pPr>
            <w:r/>
            <w:r>
              <w:rPr>
                <w:sz w:val="20"/>
              </w:rPr>
              <w:t>+ IDH</w:t>
            </w:r>
          </w:p>
        </w:tc>
        <w:tc>
          <w:tcPr>
            <w:tcW w:type="dxa" w:w="2290"/>
          </w:tcPr>
          <w:p>
            <w:pPr>
              <w:keepNext/>
              <w:spacing w:after="0" w:line="240" w:lineRule="auto"/>
              <w:ind w:firstLine="0"/>
              <w:jc w:val="left"/>
            </w:pPr>
            <w:r/>
            <w:r>
              <w:rPr>
                <w:sz w:val="20"/>
              </w:rPr>
              <w:t>1.027 (1.015–1.040), 285</w:t>
            </w:r>
          </w:p>
        </w:tc>
        <w:tc>
          <w:tcPr>
            <w:tcW w:type="dxa" w:w="2079"/>
          </w:tcPr>
          <w:p>
            <w:pPr>
              <w:keepNext/>
              <w:spacing w:after="0" w:line="240" w:lineRule="auto"/>
              <w:ind w:firstLine="0"/>
              <w:jc w:val="left"/>
            </w:pPr>
            <w:r/>
            <w:r>
              <w:rPr>
                <w:sz w:val="20"/>
              </w:rPr>
              <w:t>1.015 (1.004–1.027), 211</w:t>
            </w:r>
          </w:p>
        </w:tc>
        <w:tc>
          <w:tcPr>
            <w:tcW w:type="dxa" w:w="1924"/>
          </w:tcPr>
          <w:p>
            <w:pPr>
              <w:keepNext/>
              <w:spacing w:after="0" w:line="240" w:lineRule="auto"/>
              <w:ind w:firstLine="0"/>
              <w:jc w:val="left"/>
            </w:pPr>
            <w:r/>
            <w:r>
              <w:rPr>
                <w:sz w:val="20"/>
              </w:rPr>
              <w:t>0.18</w:t>
            </w:r>
          </w:p>
        </w:tc>
      </w:tr>
      <w:tr>
        <w:trPr>
          <w:cantSplit w:val="true"/>
        </w:trPr>
        <w:tc>
          <w:tcPr>
            <w:tcW w:type="dxa" w:w="2778"/>
          </w:tcPr>
          <w:p>
            <w:pPr>
              <w:keepNext/>
              <w:spacing w:after="0" w:line="240" w:lineRule="auto"/>
              <w:ind w:firstLine="0"/>
              <w:jc w:val="left"/>
            </w:pPr>
            <w:r/>
            <w:r>
              <w:rPr>
                <w:sz w:val="20"/>
              </w:rPr>
              <w:t>+ пол + MGMT + IDH</w:t>
            </w:r>
          </w:p>
        </w:tc>
        <w:tc>
          <w:tcPr>
            <w:tcW w:type="dxa" w:w="2290"/>
          </w:tcPr>
          <w:p>
            <w:pPr>
              <w:keepNext/>
              <w:spacing w:after="0" w:line="240" w:lineRule="auto"/>
              <w:ind w:firstLine="0"/>
              <w:jc w:val="left"/>
            </w:pPr>
            <w:r/>
            <w:r>
              <w:rPr>
                <w:sz w:val="20"/>
              </w:rPr>
              <w:t>1.032 (1.018–1.047), 238</w:t>
            </w:r>
          </w:p>
        </w:tc>
        <w:tc>
          <w:tcPr>
            <w:tcW w:type="dxa" w:w="2079"/>
          </w:tcPr>
          <w:p>
            <w:pPr>
              <w:keepNext/>
              <w:spacing w:after="0" w:line="240" w:lineRule="auto"/>
              <w:ind w:firstLine="0"/>
              <w:jc w:val="left"/>
            </w:pPr>
            <w:r/>
            <w:r>
              <w:rPr>
                <w:sz w:val="20"/>
              </w:rPr>
              <w:t>1.013 (1.001–1.026), 194</w:t>
            </w:r>
          </w:p>
        </w:tc>
        <w:tc>
          <w:tcPr>
            <w:tcW w:type="dxa" w:w="1924"/>
          </w:tcPr>
          <w:p>
            <w:pPr>
              <w:keepNext/>
              <w:spacing w:after="0" w:line="240" w:lineRule="auto"/>
              <w:ind w:firstLine="0"/>
              <w:jc w:val="left"/>
            </w:pPr>
            <w:r/>
            <w:r>
              <w:rPr>
                <w:sz w:val="20"/>
              </w:rPr>
              <w:t>0.045</w:t>
            </w:r>
          </w:p>
        </w:tc>
      </w:tr>
      <w:tr>
        <w:trPr>
          <w:cantSplit w:val="true"/>
        </w:trPr>
        <w:tc>
          <w:tcPr>
            <w:tcW w:type="dxa" w:w="2778"/>
          </w:tcPr>
          <w:p>
            <w:pPr>
              <w:keepNext/>
              <w:spacing w:after="0" w:line="240" w:lineRule="auto"/>
              <w:ind w:firstLine="0"/>
              <w:jc w:val="left"/>
            </w:pPr>
            <w:r/>
            <w:r>
              <w:rPr>
                <w:sz w:val="20"/>
              </w:rPr>
              <w:t>Только возраст, обе когорты 18–79 лет</w:t>
            </w:r>
          </w:p>
        </w:tc>
        <w:tc>
          <w:tcPr>
            <w:tcW w:type="dxa" w:w="2290"/>
          </w:tcPr>
          <w:p>
            <w:pPr>
              <w:keepNext/>
              <w:spacing w:after="0" w:line="240" w:lineRule="auto"/>
              <w:ind w:firstLine="0"/>
              <w:jc w:val="left"/>
            </w:pPr>
            <w:r/>
            <w:r>
              <w:rPr>
                <w:sz w:val="20"/>
              </w:rPr>
              <w:t>1.035, 564</w:t>
            </w:r>
          </w:p>
        </w:tc>
        <w:tc>
          <w:tcPr>
            <w:tcW w:type="dxa" w:w="2079"/>
          </w:tcPr>
          <w:p>
            <w:pPr>
              <w:keepNext/>
              <w:spacing w:after="0" w:line="240" w:lineRule="auto"/>
              <w:ind w:firstLine="0"/>
              <w:jc w:val="left"/>
            </w:pPr>
            <w:r/>
            <w:r>
              <w:rPr>
                <w:sz w:val="20"/>
              </w:rPr>
              <w:t>1.017, 216</w:t>
            </w:r>
          </w:p>
        </w:tc>
        <w:tc>
          <w:tcPr>
            <w:tcW w:type="dxa" w:w="1924"/>
          </w:tcPr>
          <w:p>
            <w:pPr>
              <w:keepNext/>
              <w:spacing w:after="0" w:line="240" w:lineRule="auto"/>
              <w:ind w:firstLine="0"/>
              <w:jc w:val="left"/>
            </w:pPr>
            <w:r/>
            <w:r>
              <w:rPr>
                <w:sz w:val="20"/>
              </w:rPr>
              <w:t>0.012</w:t>
            </w:r>
          </w:p>
        </w:tc>
      </w:tr>
      <w:tr>
        <w:trPr>
          <w:cantSplit w:val="true"/>
        </w:trPr>
        <w:tc>
          <w:tcPr>
            <w:tcW w:type="dxa" w:w="2778"/>
          </w:tcPr>
          <w:p>
            <w:pPr>
              <w:keepNext/>
              <w:spacing w:after="0" w:line="240" w:lineRule="auto"/>
              <w:ind w:firstLine="0"/>
              <w:jc w:val="left"/>
            </w:pPr>
            <w:r/>
            <w:r>
              <w:rPr>
                <w:sz w:val="20"/>
              </w:rPr>
              <w:t>Только возраст, обе когорты 40–79 лет</w:t>
            </w:r>
          </w:p>
        </w:tc>
        <w:tc>
          <w:tcPr>
            <w:tcW w:type="dxa" w:w="2290"/>
          </w:tcPr>
          <w:p>
            <w:pPr>
              <w:keepNext/>
              <w:spacing w:after="0" w:line="240" w:lineRule="auto"/>
              <w:ind w:firstLine="0"/>
              <w:jc w:val="left"/>
            </w:pPr>
            <w:r/>
            <w:r>
              <w:rPr>
                <w:sz w:val="20"/>
              </w:rPr>
              <w:t>1.035, 502</w:t>
            </w:r>
          </w:p>
        </w:tc>
        <w:tc>
          <w:tcPr>
            <w:tcW w:type="dxa" w:w="2079"/>
          </w:tcPr>
          <w:p>
            <w:pPr>
              <w:keepNext/>
              <w:spacing w:after="0" w:line="240" w:lineRule="auto"/>
              <w:ind w:firstLine="0"/>
              <w:jc w:val="left"/>
            </w:pPr>
            <w:r/>
            <w:r>
              <w:rPr>
                <w:sz w:val="20"/>
              </w:rPr>
              <w:t>1.013, 181</w:t>
            </w:r>
          </w:p>
        </w:tc>
        <w:tc>
          <w:tcPr>
            <w:tcW w:type="dxa" w:w="1924"/>
          </w:tcPr>
          <w:p>
            <w:pPr>
              <w:keepNext/>
              <w:spacing w:after="0" w:line="240" w:lineRule="auto"/>
              <w:ind w:firstLine="0"/>
              <w:jc w:val="left"/>
            </w:pPr>
            <w:r/>
            <w:r>
              <w:rPr>
                <w:sz w:val="20"/>
              </w:rPr>
              <w:t>0.040</w:t>
            </w:r>
          </w:p>
        </w:tc>
      </w:tr>
      <w:tr>
        <w:trPr>
          <w:cantSplit w:val="true"/>
        </w:trPr>
        <w:tc>
          <w:tcPr>
            <w:tcW w:type="dxa" w:w="2778"/>
          </w:tcPr>
          <w:p>
            <w:pPr>
              <w:keepNext/>
              <w:spacing w:after="0" w:line="240" w:lineRule="auto"/>
              <w:ind w:firstLine="0"/>
              <w:jc w:val="left"/>
            </w:pPr>
            <w:r/>
            <w:r>
              <w:rPr>
                <w:sz w:val="20"/>
              </w:rPr>
              <w:t>Только возраст, CGGA только получавшие темозоломид</w:t>
            </w:r>
          </w:p>
        </w:tc>
        <w:tc>
          <w:tcPr>
            <w:tcW w:type="dxa" w:w="2290"/>
          </w:tcPr>
          <w:p>
            <w:pPr>
              <w:keepNext/>
              <w:spacing w:after="0" w:line="240" w:lineRule="auto"/>
              <w:ind w:firstLine="0"/>
              <w:jc w:val="left"/>
            </w:pPr>
            <w:r/>
            <w:r>
              <w:rPr>
                <w:sz w:val="20"/>
              </w:rPr>
              <w:t>—</w:t>
            </w:r>
          </w:p>
        </w:tc>
        <w:tc>
          <w:tcPr>
            <w:tcW w:type="dxa" w:w="2079"/>
          </w:tcPr>
          <w:p>
            <w:pPr>
              <w:keepNext/>
              <w:spacing w:after="0" w:line="240" w:lineRule="auto"/>
              <w:ind w:firstLine="0"/>
              <w:jc w:val="left"/>
            </w:pPr>
            <w:r/>
            <w:r>
              <w:rPr>
                <w:sz w:val="20"/>
              </w:rPr>
              <w:t>1.019 (1.006–1.033), 170</w:t>
            </w:r>
          </w:p>
        </w:tc>
        <w:tc>
          <w:tcPr>
            <w:tcW w:type="dxa" w:w="1924"/>
          </w:tcPr>
          <w:p>
            <w:pPr>
              <w:keepNext/>
              <w:spacing w:after="0" w:line="240" w:lineRule="auto"/>
              <w:ind w:firstLine="0"/>
              <w:jc w:val="left"/>
            </w:pPr>
            <w:r/>
            <w:r>
              <w:rPr>
                <w:sz w:val="20"/>
              </w:rPr>
              <w:t>—</w:t>
            </w:r>
          </w:p>
        </w:tc>
      </w:tr>
      <w:tr>
        <w:trPr>
          <w:cantSplit w:val="true"/>
        </w:trPr>
        <w:tc>
          <w:tcPr>
            <w:tcW w:type="dxa" w:w="2778"/>
          </w:tcPr>
          <w:p>
            <w:pPr>
              <w:spacing w:after="0" w:line="240" w:lineRule="auto"/>
              <w:ind w:firstLine="0"/>
              <w:jc w:val="left"/>
            </w:pPr>
            <w:r/>
            <w:r>
              <w:rPr>
                <w:sz w:val="20"/>
              </w:rPr>
              <w:t>Объединённая модель, общий наклон + член когорты</w:t>
            </w:r>
          </w:p>
        </w:tc>
        <w:tc>
          <w:tcPr>
            <w:tcW w:type="dxa" w:w="2290"/>
          </w:tcPr>
          <w:p>
            <w:pPr>
              <w:spacing w:after="0" w:line="240" w:lineRule="auto"/>
              <w:ind w:firstLine="0"/>
              <w:jc w:val="left"/>
            </w:pPr>
            <w:r/>
            <w:r>
              <w:rPr>
                <w:sz w:val="20"/>
              </w:rPr>
              <w:t>1.030 (1.024–1.036), 811 пациентов</w:t>
            </w:r>
          </w:p>
        </w:tc>
        <w:tc>
          <w:tcPr>
            <w:tcW w:type="dxa" w:w="2079"/>
          </w:tcPr>
          <w:p>
            <w:pPr>
              <w:spacing w:after="0" w:line="240" w:lineRule="auto"/>
              <w:ind w:firstLine="0"/>
              <w:jc w:val="left"/>
            </w:pPr>
            <w:r/>
            <w:r>
              <w:rPr>
                <w:sz w:val="20"/>
              </w:rPr>
            </w:r>
          </w:p>
        </w:tc>
        <w:tc>
          <w:tcPr>
            <w:tcW w:type="dxa" w:w="1924"/>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Гетерогенность не росла с возрастом</w:t>
      </w:r>
    </w:p>
    <w:p>
      <w:pPr>
        <w:ind w:firstLine="567"/>
      </w:pPr>
      <w:r>
        <w:t>Энтропию клеточных состояний удалось вычислить для 437 из 593 пациентов TCGA и для всех 218 пациентов CGGA. В обеих когортах она занимала большую часть своего диапазона: медиана 0.88 в TCGA (межквартильный размах от 0.75 до 0.94) и 0.92 в CGGA (от 0.83 до 0.96), то есть большинство опухолей экспрессировали несколько состояний сразу, а меньшинство были подчинены одному. Мезенхимоподобное состояние чаще всего было доминирующим в обеих когортах — в 163 опухолях TCGA (37 %) и 77 опухолях CGGA (35 %), далее шли астроцитоподобное, нейрально-предшественниковое и олигодендроцитарно-предшественниковое. Ничто из этого не следовало за возрастом (рисунок 8). Корреляция возраста с энтропией составила 0.04 в TCGA (p = 0.47) и 0.07 в CGGA (p = 0.34), медианы по четырём возрастным группам были ровными (критерий Краскела — Уоллиса p = 0.82 и 0.61), а медианный возраст четырёх групп по доминирующему состоянию различался на пять лет в TCGA и на девять в CGGA без согласованного порядка между когортами (таблица 10).</w:t>
      </w:r>
    </w:p>
    <w:p>
      <w:pPr>
        <w:ind w:firstLine="567"/>
      </w:pPr>
      <w:r>
        <w:t>Показатель MATH, доступный для 375 пациентов TCGA, имел медиану 35.0 (межквартильный размах от 26.5 до 58.1). Он коррелировал с возрастом, но в направлении, противоположном гипотезе: у пожилых пациентов разброс аллельных частот был немного меньше (ρ Спирмена = −0.18, p = 0.0004; рисунок 9). Два показателя были почти независимы друг от друга (ρ = −0.11, p = 0.06, n = 278), чего и следовало ожидать, поскольку один измеряет смесь экспрессионных состояний, а другой — клональную структуру мутаций.</w:t>
      </w:r>
    </w:p>
    <w:p>
      <w:pPr>
        <w:keepNext/>
        <w:spacing w:after="80"/>
        <w:jc w:val="left"/>
      </w:pPr>
      <w:r>
        <w:rPr>
          <w:b/>
          <w:sz w:val="22"/>
        </w:rPr>
        <w:t>Таблица 10. Показатели гетерогенности по когортам и их связь с возрастом.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30"/>
        <w:gridCol w:w="2050"/>
        <w:gridCol w:w="2050"/>
        <w:gridCol w:w="1640"/>
      </w:tblGrid>
      <w:tr>
        <w:trPr>
          <w:cantSplit w:val="true"/>
          <w:tblHeader w:val="true"/>
        </w:trPr>
        <w:tc>
          <w:tcPr>
            <w:tcW w:type="dxa" w:w="3331"/>
            <w:shd w:val="clear" w:fill="E7EEF6"/>
          </w:tcPr>
          <w:p>
            <w:pPr>
              <w:keepNext/>
              <w:spacing w:after="0" w:line="240" w:lineRule="auto"/>
              <w:ind w:firstLine="0"/>
              <w:jc w:val="left"/>
            </w:pPr>
            <w:r/>
            <w:r>
              <w:rPr>
                <w:b/>
                <w:sz w:val="20"/>
              </w:rPr>
            </w:r>
          </w:p>
        </w:tc>
        <w:tc>
          <w:tcPr>
            <w:tcW w:type="dxa" w:w="2050"/>
            <w:shd w:val="clear" w:fill="E7EEF6"/>
          </w:tcPr>
          <w:p>
            <w:pPr>
              <w:keepNext/>
              <w:spacing w:after="0" w:line="240" w:lineRule="auto"/>
              <w:ind w:firstLine="0"/>
              <w:jc w:val="left"/>
            </w:pPr>
            <w:r/>
            <w:r>
              <w:rPr>
                <w:b/>
                <w:sz w:val="20"/>
              </w:rPr>
              <w:t>Энтропия, TCGA</w:t>
            </w:r>
          </w:p>
        </w:tc>
        <w:tc>
          <w:tcPr>
            <w:tcW w:type="dxa" w:w="2050"/>
            <w:shd w:val="clear" w:fill="E7EEF6"/>
          </w:tcPr>
          <w:p>
            <w:pPr>
              <w:keepNext/>
              <w:spacing w:after="0" w:line="240" w:lineRule="auto"/>
              <w:ind w:firstLine="0"/>
              <w:jc w:val="left"/>
            </w:pPr>
            <w:r/>
            <w:r>
              <w:rPr>
                <w:b/>
                <w:sz w:val="20"/>
              </w:rPr>
              <w:t>Энтропия, CGGA</w:t>
            </w:r>
          </w:p>
        </w:tc>
        <w:tc>
          <w:tcPr>
            <w:tcW w:type="dxa" w:w="1640"/>
            <w:shd w:val="clear" w:fill="E7EEF6"/>
          </w:tcPr>
          <w:p>
            <w:pPr>
              <w:keepNext/>
              <w:spacing w:after="0" w:line="240" w:lineRule="auto"/>
              <w:ind w:firstLine="0"/>
              <w:jc w:val="left"/>
            </w:pPr>
            <w:r/>
            <w:r>
              <w:rPr>
                <w:b/>
                <w:sz w:val="20"/>
              </w:rPr>
              <w:t>MATH, TCGA</w:t>
            </w:r>
          </w:p>
        </w:tc>
      </w:tr>
      <w:tr>
        <w:trPr>
          <w:cantSplit w:val="true"/>
        </w:trPr>
        <w:tc>
          <w:tcPr>
            <w:tcW w:type="dxa" w:w="3331"/>
          </w:tcPr>
          <w:p>
            <w:pPr>
              <w:keepNext/>
              <w:spacing w:after="0" w:line="240" w:lineRule="auto"/>
              <w:ind w:firstLine="0"/>
              <w:jc w:val="left"/>
            </w:pPr>
            <w:r/>
            <w:r>
              <w:rPr>
                <w:sz w:val="20"/>
              </w:rPr>
              <w:t>Оценено пациентов</w:t>
            </w:r>
          </w:p>
        </w:tc>
        <w:tc>
          <w:tcPr>
            <w:tcW w:type="dxa" w:w="2050"/>
          </w:tcPr>
          <w:p>
            <w:pPr>
              <w:keepNext/>
              <w:spacing w:after="0" w:line="240" w:lineRule="auto"/>
              <w:ind w:firstLine="0"/>
              <w:jc w:val="left"/>
            </w:pPr>
            <w:r/>
            <w:r>
              <w:rPr>
                <w:sz w:val="20"/>
              </w:rPr>
              <w:t>437</w:t>
            </w:r>
          </w:p>
        </w:tc>
        <w:tc>
          <w:tcPr>
            <w:tcW w:type="dxa" w:w="2050"/>
          </w:tcPr>
          <w:p>
            <w:pPr>
              <w:keepNext/>
              <w:spacing w:after="0" w:line="240" w:lineRule="auto"/>
              <w:ind w:firstLine="0"/>
              <w:jc w:val="left"/>
            </w:pPr>
            <w:r/>
            <w:r>
              <w:rPr>
                <w:sz w:val="20"/>
              </w:rPr>
              <w:t>218</w:t>
            </w:r>
          </w:p>
        </w:tc>
        <w:tc>
          <w:tcPr>
            <w:tcW w:type="dxa" w:w="1640"/>
          </w:tcPr>
          <w:p>
            <w:pPr>
              <w:keepNext/>
              <w:spacing w:after="0" w:line="240" w:lineRule="auto"/>
              <w:ind w:firstLine="0"/>
              <w:jc w:val="left"/>
            </w:pPr>
            <w:r/>
            <w:r>
              <w:rPr>
                <w:sz w:val="20"/>
              </w:rPr>
              <w:t>375</w:t>
            </w:r>
          </w:p>
        </w:tc>
      </w:tr>
      <w:tr>
        <w:trPr>
          <w:cantSplit w:val="true"/>
        </w:trPr>
        <w:tc>
          <w:tcPr>
            <w:tcW w:type="dxa" w:w="3331"/>
          </w:tcPr>
          <w:p>
            <w:pPr>
              <w:keepNext/>
              <w:spacing w:after="0" w:line="240" w:lineRule="auto"/>
              <w:ind w:firstLine="0"/>
              <w:jc w:val="left"/>
            </w:pPr>
            <w:r/>
            <w:r>
              <w:rPr>
                <w:sz w:val="20"/>
              </w:rPr>
              <w:t>Медиана (МКР)</w:t>
            </w:r>
          </w:p>
        </w:tc>
        <w:tc>
          <w:tcPr>
            <w:tcW w:type="dxa" w:w="2050"/>
          </w:tcPr>
          <w:p>
            <w:pPr>
              <w:keepNext/>
              <w:spacing w:after="0" w:line="240" w:lineRule="auto"/>
              <w:ind w:firstLine="0"/>
              <w:jc w:val="left"/>
            </w:pPr>
            <w:r/>
            <w:r>
              <w:rPr>
                <w:sz w:val="20"/>
              </w:rPr>
              <w:t>0.88 (0.75–0.94)</w:t>
            </w:r>
          </w:p>
        </w:tc>
        <w:tc>
          <w:tcPr>
            <w:tcW w:type="dxa" w:w="2050"/>
          </w:tcPr>
          <w:p>
            <w:pPr>
              <w:keepNext/>
              <w:spacing w:after="0" w:line="240" w:lineRule="auto"/>
              <w:ind w:firstLine="0"/>
              <w:jc w:val="left"/>
            </w:pPr>
            <w:r/>
            <w:r>
              <w:rPr>
                <w:sz w:val="20"/>
              </w:rPr>
              <w:t>0.92 (0.83–0.96)</w:t>
            </w:r>
          </w:p>
        </w:tc>
        <w:tc>
          <w:tcPr>
            <w:tcW w:type="dxa" w:w="1640"/>
          </w:tcPr>
          <w:p>
            <w:pPr>
              <w:keepNext/>
              <w:spacing w:after="0" w:line="240" w:lineRule="auto"/>
              <w:ind w:firstLine="0"/>
              <w:jc w:val="left"/>
            </w:pPr>
            <w:r/>
            <w:r>
              <w:rPr>
                <w:sz w:val="20"/>
              </w:rPr>
              <w:t>35.0 (26.5–58.1)</w:t>
            </w:r>
          </w:p>
        </w:tc>
      </w:tr>
      <w:tr>
        <w:trPr>
          <w:cantSplit w:val="true"/>
        </w:trPr>
        <w:tc>
          <w:tcPr>
            <w:tcW w:type="dxa" w:w="3331"/>
          </w:tcPr>
          <w:p>
            <w:pPr>
              <w:keepNext/>
              <w:spacing w:after="0" w:line="240" w:lineRule="auto"/>
              <w:ind w:firstLine="0"/>
              <w:jc w:val="left"/>
            </w:pPr>
            <w:r/>
            <w:r>
              <w:rPr>
                <w:sz w:val="20"/>
              </w:rPr>
              <w:t>ρ Спирмена с возрастом (p)</w:t>
            </w:r>
          </w:p>
        </w:tc>
        <w:tc>
          <w:tcPr>
            <w:tcW w:type="dxa" w:w="2050"/>
          </w:tcPr>
          <w:p>
            <w:pPr>
              <w:keepNext/>
              <w:spacing w:after="0" w:line="240" w:lineRule="auto"/>
              <w:ind w:firstLine="0"/>
              <w:jc w:val="left"/>
            </w:pPr>
            <w:r/>
            <w:r>
              <w:rPr>
                <w:sz w:val="20"/>
              </w:rPr>
              <w:t>0.04 (0.47)</w:t>
            </w:r>
          </w:p>
        </w:tc>
        <w:tc>
          <w:tcPr>
            <w:tcW w:type="dxa" w:w="2050"/>
          </w:tcPr>
          <w:p>
            <w:pPr>
              <w:keepNext/>
              <w:spacing w:after="0" w:line="240" w:lineRule="auto"/>
              <w:ind w:firstLine="0"/>
              <w:jc w:val="left"/>
            </w:pPr>
            <w:r/>
            <w:r>
              <w:rPr>
                <w:sz w:val="20"/>
              </w:rPr>
              <w:t>0.07 (0.34)</w:t>
            </w:r>
          </w:p>
        </w:tc>
        <w:tc>
          <w:tcPr>
            <w:tcW w:type="dxa" w:w="1640"/>
          </w:tcPr>
          <w:p>
            <w:pPr>
              <w:keepNext/>
              <w:spacing w:after="0" w:line="240" w:lineRule="auto"/>
              <w:ind w:firstLine="0"/>
              <w:jc w:val="left"/>
            </w:pPr>
            <w:r/>
            <w:r>
              <w:rPr>
                <w:sz w:val="20"/>
              </w:rPr>
              <w:t>−0.18 (0.0004)</w:t>
            </w:r>
          </w:p>
        </w:tc>
      </w:tr>
      <w:tr>
        <w:trPr>
          <w:cantSplit w:val="true"/>
        </w:trPr>
        <w:tc>
          <w:tcPr>
            <w:tcW w:type="dxa" w:w="3331"/>
          </w:tcPr>
          <w:p>
            <w:pPr>
              <w:keepNext/>
              <w:spacing w:after="0" w:line="240" w:lineRule="auto"/>
              <w:ind w:firstLine="0"/>
              <w:jc w:val="left"/>
            </w:pPr>
            <w:r/>
            <w:r>
              <w:rPr>
                <w:sz w:val="20"/>
              </w:rPr>
              <w:t>Медиана по возрастной группе &lt;50 / 50–59 / 60–69 / ≥70</w:t>
            </w:r>
          </w:p>
        </w:tc>
        <w:tc>
          <w:tcPr>
            <w:tcW w:type="dxa" w:w="2050"/>
          </w:tcPr>
          <w:p>
            <w:pPr>
              <w:keepNext/>
              <w:spacing w:after="0" w:line="240" w:lineRule="auto"/>
              <w:ind w:firstLine="0"/>
              <w:jc w:val="left"/>
            </w:pPr>
            <w:r/>
            <w:r>
              <w:rPr>
                <w:sz w:val="20"/>
              </w:rPr>
              <w:t>0.85 / 0.88 / 0.87 / 0.87</w:t>
            </w:r>
          </w:p>
        </w:tc>
        <w:tc>
          <w:tcPr>
            <w:tcW w:type="dxa" w:w="2050"/>
          </w:tcPr>
          <w:p>
            <w:pPr>
              <w:keepNext/>
              <w:spacing w:after="0" w:line="240" w:lineRule="auto"/>
              <w:ind w:firstLine="0"/>
              <w:jc w:val="left"/>
            </w:pPr>
            <w:r/>
            <w:r>
              <w:rPr>
                <w:sz w:val="20"/>
              </w:rPr>
              <w:t>0.92 / 0.91 / 0.93 / 0.93</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Критерий Краскела — Уоллиса по группам, p</w:t>
            </w:r>
          </w:p>
        </w:tc>
        <w:tc>
          <w:tcPr>
            <w:tcW w:type="dxa" w:w="2050"/>
          </w:tcPr>
          <w:p>
            <w:pPr>
              <w:keepNext/>
              <w:spacing w:after="0" w:line="240" w:lineRule="auto"/>
              <w:ind w:firstLine="0"/>
              <w:jc w:val="left"/>
            </w:pPr>
            <w:r/>
            <w:r>
              <w:rPr>
                <w:sz w:val="20"/>
              </w:rPr>
              <w:t>0.82</w:t>
            </w:r>
          </w:p>
        </w:tc>
        <w:tc>
          <w:tcPr>
            <w:tcW w:type="dxa" w:w="2050"/>
          </w:tcPr>
          <w:p>
            <w:pPr>
              <w:keepNext/>
              <w:spacing w:after="0" w:line="240" w:lineRule="auto"/>
              <w:ind w:firstLine="0"/>
              <w:jc w:val="left"/>
            </w:pPr>
            <w:r/>
            <w:r>
              <w:rPr>
                <w:sz w:val="20"/>
              </w:rPr>
              <w:t>0.61</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Доминирующее состояние, n: MES / AC / NPC / OPC</w:t>
            </w:r>
          </w:p>
        </w:tc>
        <w:tc>
          <w:tcPr>
            <w:tcW w:type="dxa" w:w="2050"/>
          </w:tcPr>
          <w:p>
            <w:pPr>
              <w:keepNext/>
              <w:spacing w:after="0" w:line="240" w:lineRule="auto"/>
              <w:ind w:firstLine="0"/>
              <w:jc w:val="left"/>
            </w:pPr>
            <w:r/>
            <w:r>
              <w:rPr>
                <w:sz w:val="20"/>
              </w:rPr>
              <w:t>163 / 106 / 102 / 66</w:t>
            </w:r>
          </w:p>
        </w:tc>
        <w:tc>
          <w:tcPr>
            <w:tcW w:type="dxa" w:w="2050"/>
          </w:tcPr>
          <w:p>
            <w:pPr>
              <w:keepNext/>
              <w:spacing w:after="0" w:line="240" w:lineRule="auto"/>
              <w:ind w:firstLine="0"/>
              <w:jc w:val="left"/>
            </w:pPr>
            <w:r/>
            <w:r>
              <w:rPr>
                <w:sz w:val="20"/>
              </w:rPr>
              <w:t>77 / 50 / 47 / 44</w:t>
            </w:r>
          </w:p>
        </w:tc>
        <w:tc>
          <w:tcPr>
            <w:tcW w:type="dxa" w:w="1640"/>
          </w:tcPr>
          <w:p>
            <w:pPr>
              <w:keepNext/>
              <w:spacing w:after="0" w:line="240" w:lineRule="auto"/>
              <w:ind w:firstLine="0"/>
              <w:jc w:val="left"/>
            </w:pPr>
            <w:r/>
            <w:r>
              <w:rPr>
                <w:sz w:val="20"/>
              </w:rPr>
              <w:t>—</w:t>
            </w:r>
          </w:p>
        </w:tc>
      </w:tr>
      <w:tr>
        <w:trPr>
          <w:cantSplit w:val="true"/>
        </w:trPr>
        <w:tc>
          <w:tcPr>
            <w:tcW w:type="dxa" w:w="3331"/>
          </w:tcPr>
          <w:p>
            <w:pPr>
              <w:spacing w:after="0" w:line="240" w:lineRule="auto"/>
              <w:ind w:firstLine="0"/>
              <w:jc w:val="left"/>
            </w:pPr>
            <w:r/>
            <w:r>
              <w:rPr>
                <w:sz w:val="20"/>
              </w:rPr>
              <w:t>Медианный возраст по доминирующему состоянию, MES / AC / NPC / OPC</w:t>
            </w:r>
          </w:p>
        </w:tc>
        <w:tc>
          <w:tcPr>
            <w:tcW w:type="dxa" w:w="2050"/>
          </w:tcPr>
          <w:p>
            <w:pPr>
              <w:spacing w:after="0" w:line="240" w:lineRule="auto"/>
              <w:ind w:firstLine="0"/>
              <w:jc w:val="left"/>
            </w:pPr>
            <w:r/>
            <w:r>
              <w:rPr>
                <w:sz w:val="20"/>
              </w:rPr>
              <w:t>59 / 62 / 57 / 59</w:t>
            </w:r>
          </w:p>
        </w:tc>
        <w:tc>
          <w:tcPr>
            <w:tcW w:type="dxa" w:w="2050"/>
          </w:tcPr>
          <w:p>
            <w:pPr>
              <w:spacing w:after="0" w:line="240" w:lineRule="auto"/>
              <w:ind w:firstLine="0"/>
              <w:jc w:val="left"/>
            </w:pPr>
            <w:r/>
            <w:r>
              <w:rPr>
                <w:sz w:val="20"/>
              </w:rPr>
              <w:t>57 / 53 / 48 / 51</w:t>
            </w:r>
          </w:p>
        </w:tc>
        <w:tc>
          <w:tcPr>
            <w:tcW w:type="dxa" w:w="1640"/>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ru.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8. Возраст на момент диагноза и энтропия клеточных состояний в TCGA (слева) и CGGA (справа), с линией наименьших квадратов и корреляцией Спирмена.</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ru.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9. Показатель MATH в TCGA: в зависимости от возраста (слева) и кривые Каплана — Мейера по терцилям MATH (справа).</w:t>
      </w:r>
    </w:p>
    <w:p>
      <w:pPr>
        <w:pStyle w:val="Heading2"/>
      </w:pPr>
      <w:r>
        <w:t>3.11. Гетерогенность не предсказывала выживаемость и не меняла эффект возраста</w:t>
      </w:r>
    </w:p>
    <w:p>
      <w:pPr>
        <w:ind w:firstLine="567"/>
      </w:pPr>
      <w:r>
        <w:t>Ни один показатель не разделял пациентов по выживаемости (таблица 11, рисунок 10). В TCGA одно стандартное отклонение энтропии давало отношение рисков 1.03 (95 % ДИ от 0.92 до 1.14; p = 0.64), терцили имели медианы выживаемости 14.9, 13.3 и 14.3 месяца (лог-ранговый p = 0.68), и ни одно доминирующее состояние не отличалось от астроцитоподобного, взятого за референс. В CGGA непрерывная оценка составила 1.02 на стандартное отклонение (от 0.86 до 1.21; p = 0.78). Терцили CGGA различались — медианы 19.4, 13.3 и 13.6 месяца при лог-ранговом p 0.049, — но отсутствующий непрерывный эффект при едва значимом делении на терцили — это картина случайной находки, и мы так её и читаем. MATH сам по себе давал отношение рисков 0.90 на стандартное отклонение (от 0.80 до 1.00; p = 0.057), а терцили не расходились (p = 0.32).</w:t>
      </w:r>
    </w:p>
    <w:p>
      <w:pPr>
        <w:ind w:firstLine="567"/>
      </w:pPr>
      <w:r>
        <w:t>Решающей проверкой было то, что показатели делают с оценкой возраста, и ответ — ничего. На 437 пациентах TCGA с энтропией один возраст давал 1.032 на год, а возраст плюс энтропия — 1.032 (95 % ДИ от 1.024 до 1.040), при энтропии 0.99. На 375 пациентах с MATH один возраст давал 1.036, а возраст плюс MATH — 1.037 (от 1.026 до 1.048), и слабый защитный вид MATH самого по себе исчезал, как только в модель входил возраст (1.01, p = 0.87): более низкий MATH у пожилых опухолей замещал собой возраст. С добавлением пола, MGMT и IDH оценка возраста оставалась 1.029 с энтропией и 1.036 с MATH. В CGGA возраст плюс энтропия давали 1.020, ровно столько же, сколько один возраст. В опухолях IDH-дикого типа TCGA возраст плюс энтропия давали 1.025 (от 1.010 до 1.041) — столько же, сколько оценка для IDH-дикого типа без неё. Дополнительная гипотеза, таким образом, отвергнута по обоим пунктам: гетерогенность, насколько её могут измерить объёмные данные, не выше у пожилых пациентов и не объясняет никакой части эффекта возраста.</w:t>
      </w:r>
    </w:p>
    <w:p>
      <w:pPr>
        <w:keepNext/>
        <w:spacing w:after="80"/>
        <w:jc w:val="left"/>
      </w:pPr>
      <w:r>
        <w:rPr>
          <w:b/>
          <w:sz w:val="22"/>
        </w:rPr>
        <w:t>Таблица 11. Модели Кокса с показателями гетерогенности. Показатели стандартизированы, поэтому их отношения рисков даны на одно стандартное отклонение.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13"/>
        <w:gridCol w:w="705"/>
        <w:gridCol w:w="933"/>
        <w:gridCol w:w="1866"/>
        <w:gridCol w:w="1932"/>
        <w:gridCol w:w="1319"/>
      </w:tblGrid>
      <w:tr>
        <w:trPr>
          <w:cantSplit w:val="true"/>
          <w:tblHeader w:val="true"/>
        </w:trPr>
        <w:tc>
          <w:tcPr>
            <w:tcW w:type="dxa" w:w="2313"/>
            <w:shd w:val="clear" w:fill="E7EEF6"/>
          </w:tcPr>
          <w:p>
            <w:pPr>
              <w:keepNext/>
              <w:spacing w:after="0" w:line="240" w:lineRule="auto"/>
              <w:ind w:firstLine="0"/>
              <w:jc w:val="left"/>
            </w:pPr>
            <w:r/>
            <w:r>
              <w:rPr>
                <w:b/>
                <w:sz w:val="20"/>
              </w:rPr>
              <w:t>Когорта, модель</w:t>
            </w:r>
          </w:p>
        </w:tc>
        <w:tc>
          <w:tcPr>
            <w:tcW w:type="dxa" w:w="706"/>
            <w:shd w:val="clear" w:fill="E7EEF6"/>
          </w:tcPr>
          <w:p>
            <w:pPr>
              <w:keepNext/>
              <w:spacing w:after="0" w:line="240" w:lineRule="auto"/>
              <w:ind w:firstLine="0"/>
              <w:jc w:val="left"/>
            </w:pPr>
            <w:r/>
            <w:r>
              <w:rPr>
                <w:b/>
                <w:sz w:val="20"/>
              </w:rPr>
              <w:t>n</w:t>
            </w:r>
          </w:p>
        </w:tc>
        <w:tc>
          <w:tcPr>
            <w:tcW w:type="dxa" w:w="933"/>
            <w:shd w:val="clear" w:fill="E7EEF6"/>
          </w:tcPr>
          <w:p>
            <w:pPr>
              <w:keepNext/>
              <w:spacing w:after="0" w:line="240" w:lineRule="auto"/>
              <w:ind w:firstLine="0"/>
              <w:jc w:val="left"/>
            </w:pPr>
            <w:r/>
            <w:r>
              <w:rPr>
                <w:b/>
                <w:sz w:val="20"/>
              </w:rPr>
              <w:t>Смертей</w:t>
            </w:r>
          </w:p>
        </w:tc>
        <w:tc>
          <w:tcPr>
            <w:tcW w:type="dxa" w:w="1867"/>
            <w:shd w:val="clear" w:fill="E7EEF6"/>
          </w:tcPr>
          <w:p>
            <w:pPr>
              <w:keepNext/>
              <w:spacing w:after="0" w:line="240" w:lineRule="auto"/>
              <w:ind w:firstLine="0"/>
              <w:jc w:val="left"/>
            </w:pPr>
            <w:r/>
            <w:r>
              <w:rPr>
                <w:b/>
                <w:sz w:val="20"/>
              </w:rPr>
              <w:t>Возраст, ОР на год (95 % ДИ)</w:t>
            </w:r>
          </w:p>
        </w:tc>
        <w:tc>
          <w:tcPr>
            <w:tcW w:type="dxa" w:w="1932"/>
            <w:shd w:val="clear" w:fill="E7EEF6"/>
          </w:tcPr>
          <w:p>
            <w:pPr>
              <w:keepNext/>
              <w:spacing w:after="0" w:line="240" w:lineRule="auto"/>
              <w:ind w:firstLine="0"/>
              <w:jc w:val="left"/>
            </w:pPr>
            <w:r/>
            <w:r>
              <w:rPr>
                <w:b/>
                <w:sz w:val="20"/>
              </w:rPr>
              <w:t>Показатель, ОР на СО (95 % ДИ)</w:t>
            </w:r>
          </w:p>
        </w:tc>
        <w:tc>
          <w:tcPr>
            <w:tcW w:type="dxa" w:w="1320"/>
            <w:shd w:val="clear" w:fill="E7EEF6"/>
          </w:tcPr>
          <w:p>
            <w:pPr>
              <w:keepNext/>
              <w:spacing w:after="0" w:line="240" w:lineRule="auto"/>
              <w:ind w:firstLine="0"/>
              <w:jc w:val="left"/>
            </w:pPr>
            <w:r/>
            <w:r>
              <w:rPr>
                <w:b/>
                <w:sz w:val="20"/>
              </w:rPr>
              <w:t>p (показатель)</w:t>
            </w:r>
          </w:p>
        </w:tc>
      </w:tr>
      <w:tr>
        <w:trPr>
          <w:cantSplit w:val="true"/>
        </w:trPr>
        <w:tc>
          <w:tcPr>
            <w:tcW w:type="dxa" w:w="2313"/>
          </w:tcPr>
          <w:p>
            <w:pPr>
              <w:keepNext/>
              <w:spacing w:after="0" w:line="240" w:lineRule="auto"/>
              <w:ind w:firstLine="0"/>
              <w:jc w:val="left"/>
            </w:pPr>
            <w:r/>
            <w:r>
              <w:rPr>
                <w:sz w:val="20"/>
              </w:rPr>
              <w:t>TCGA: один возраст, подгруппа с энтропией</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одна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1.03 (0.92–1.14)</w:t>
            </w:r>
          </w:p>
        </w:tc>
        <w:tc>
          <w:tcPr>
            <w:tcW w:type="dxa" w:w="1320"/>
          </w:tcPr>
          <w:p>
            <w:pPr>
              <w:keepNext/>
              <w:spacing w:after="0" w:line="240" w:lineRule="auto"/>
              <w:ind w:firstLine="0"/>
              <w:jc w:val="left"/>
            </w:pPr>
            <w:r/>
            <w:r>
              <w:rPr>
                <w:sz w:val="20"/>
              </w:rPr>
              <w:t>0.64</w:t>
            </w:r>
          </w:p>
        </w:tc>
      </w:tr>
      <w:tr>
        <w:trPr>
          <w:cantSplit w:val="true"/>
        </w:trPr>
        <w:tc>
          <w:tcPr>
            <w:tcW w:type="dxa" w:w="2313"/>
          </w:tcPr>
          <w:p>
            <w:pPr>
              <w:keepNext/>
              <w:spacing w:after="0" w:line="240" w:lineRule="auto"/>
              <w:ind w:firstLine="0"/>
              <w:jc w:val="left"/>
            </w:pPr>
            <w:r/>
            <w:r>
              <w:rPr>
                <w:sz w:val="20"/>
              </w:rPr>
              <w:t>TCGA: возраст +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0.99 (0.89–1.11)</w:t>
            </w:r>
          </w:p>
        </w:tc>
        <w:tc>
          <w:tcPr>
            <w:tcW w:type="dxa" w:w="1320"/>
          </w:tcPr>
          <w:p>
            <w:pPr>
              <w:keepNext/>
              <w:spacing w:after="0" w:line="240" w:lineRule="auto"/>
              <w:ind w:firstLine="0"/>
              <w:jc w:val="left"/>
            </w:pPr>
            <w:r/>
            <w:r>
              <w:rPr>
                <w:sz w:val="20"/>
              </w:rPr>
              <w:t>0.92</w:t>
            </w:r>
          </w:p>
        </w:tc>
      </w:tr>
      <w:tr>
        <w:trPr>
          <w:cantSplit w:val="true"/>
        </w:trPr>
        <w:tc>
          <w:tcPr>
            <w:tcW w:type="dxa" w:w="2313"/>
          </w:tcPr>
          <w:p>
            <w:pPr>
              <w:keepNext/>
              <w:spacing w:after="0" w:line="240" w:lineRule="auto"/>
              <w:ind w:firstLine="0"/>
              <w:jc w:val="left"/>
            </w:pPr>
            <w:r/>
            <w:r>
              <w:rPr>
                <w:sz w:val="20"/>
              </w:rPr>
              <w:t>TCGA: возраст + энтропия + пол + MGMT + IDH</w:t>
            </w:r>
          </w:p>
        </w:tc>
        <w:tc>
          <w:tcPr>
            <w:tcW w:type="dxa" w:w="706"/>
          </w:tcPr>
          <w:p>
            <w:pPr>
              <w:keepNext/>
              <w:spacing w:after="0" w:line="240" w:lineRule="auto"/>
              <w:ind w:firstLine="0"/>
              <w:jc w:val="left"/>
            </w:pPr>
            <w:r/>
            <w:r>
              <w:rPr>
                <w:sz w:val="20"/>
              </w:rPr>
              <w:t>168</w:t>
            </w:r>
          </w:p>
        </w:tc>
        <w:tc>
          <w:tcPr>
            <w:tcW w:type="dxa" w:w="933"/>
          </w:tcPr>
          <w:p>
            <w:pPr>
              <w:keepNext/>
              <w:spacing w:after="0" w:line="240" w:lineRule="auto"/>
              <w:ind w:firstLine="0"/>
              <w:jc w:val="left"/>
            </w:pPr>
            <w:r/>
            <w:r>
              <w:rPr>
                <w:sz w:val="20"/>
              </w:rPr>
              <w:t>128</w:t>
            </w:r>
          </w:p>
        </w:tc>
        <w:tc>
          <w:tcPr>
            <w:tcW w:type="dxa" w:w="1867"/>
          </w:tcPr>
          <w:p>
            <w:pPr>
              <w:keepNext/>
              <w:spacing w:after="0" w:line="240" w:lineRule="auto"/>
              <w:ind w:firstLine="0"/>
              <w:jc w:val="left"/>
            </w:pPr>
            <w:r/>
            <w:r>
              <w:rPr>
                <w:sz w:val="20"/>
              </w:rPr>
              <w:t>1.029 (1.012–1.046)</w:t>
            </w:r>
          </w:p>
        </w:tc>
        <w:tc>
          <w:tcPr>
            <w:tcW w:type="dxa" w:w="1932"/>
          </w:tcPr>
          <w:p>
            <w:pPr>
              <w:keepNext/>
              <w:spacing w:after="0" w:line="240" w:lineRule="auto"/>
              <w:ind w:firstLine="0"/>
              <w:jc w:val="left"/>
            </w:pPr>
            <w:r/>
            <w:r>
              <w:rPr>
                <w:sz w:val="20"/>
              </w:rPr>
              <w:t>0.89 (0.74–1.08)</w:t>
            </w:r>
          </w:p>
        </w:tc>
        <w:tc>
          <w:tcPr>
            <w:tcW w:type="dxa" w:w="1320"/>
          </w:tcPr>
          <w:p>
            <w:pPr>
              <w:keepNext/>
              <w:spacing w:after="0" w:line="240" w:lineRule="auto"/>
              <w:ind w:firstLine="0"/>
              <w:jc w:val="left"/>
            </w:pPr>
            <w:r/>
            <w:r>
              <w:rPr>
                <w:sz w:val="20"/>
              </w:rPr>
              <w:t>0.23</w:t>
            </w:r>
          </w:p>
        </w:tc>
      </w:tr>
      <w:tr>
        <w:trPr>
          <w:cantSplit w:val="true"/>
        </w:trPr>
        <w:tc>
          <w:tcPr>
            <w:tcW w:type="dxa" w:w="2313"/>
          </w:tcPr>
          <w:p>
            <w:pPr>
              <w:keepNext/>
              <w:spacing w:after="0" w:line="240" w:lineRule="auto"/>
              <w:ind w:firstLine="0"/>
              <w:jc w:val="left"/>
            </w:pPr>
            <w:r/>
            <w:r>
              <w:rPr>
                <w:sz w:val="20"/>
              </w:rPr>
              <w:t>TCGA, IDH-дикий тип: возраст + энтропия</w:t>
            </w:r>
          </w:p>
        </w:tc>
        <w:tc>
          <w:tcPr>
            <w:tcW w:type="dxa" w:w="706"/>
          </w:tcPr>
          <w:p>
            <w:pPr>
              <w:keepNext/>
              <w:spacing w:after="0" w:line="240" w:lineRule="auto"/>
              <w:ind w:firstLine="0"/>
              <w:jc w:val="left"/>
            </w:pPr>
            <w:r/>
            <w:r>
              <w:rPr>
                <w:sz w:val="20"/>
              </w:rPr>
              <w:t>187</w:t>
            </w:r>
          </w:p>
        </w:tc>
        <w:tc>
          <w:tcPr>
            <w:tcW w:type="dxa" w:w="933"/>
          </w:tcPr>
          <w:p>
            <w:pPr>
              <w:keepNext/>
              <w:spacing w:after="0" w:line="240" w:lineRule="auto"/>
              <w:ind w:firstLine="0"/>
              <w:jc w:val="left"/>
            </w:pPr>
            <w:r/>
            <w:r>
              <w:rPr>
                <w:sz w:val="20"/>
              </w:rPr>
              <w:t>154</w:t>
            </w:r>
          </w:p>
        </w:tc>
        <w:tc>
          <w:tcPr>
            <w:tcW w:type="dxa" w:w="1867"/>
          </w:tcPr>
          <w:p>
            <w:pPr>
              <w:keepNext/>
              <w:spacing w:after="0" w:line="240" w:lineRule="auto"/>
              <w:ind w:firstLine="0"/>
              <w:jc w:val="left"/>
            </w:pPr>
            <w:r/>
            <w:r>
              <w:rPr>
                <w:sz w:val="20"/>
              </w:rPr>
              <w:t>1.025 (1.010–1.041)</w:t>
            </w:r>
          </w:p>
        </w:tc>
        <w:tc>
          <w:tcPr>
            <w:tcW w:type="dxa" w:w="1932"/>
          </w:tcPr>
          <w:p>
            <w:pPr>
              <w:keepNext/>
              <w:spacing w:after="0" w:line="240" w:lineRule="auto"/>
              <w:ind w:firstLine="0"/>
              <w:jc w:val="left"/>
            </w:pPr>
            <w:r/>
            <w:r>
              <w:rPr>
                <w:sz w:val="20"/>
              </w:rPr>
              <w:t>0.94 (0.78–1.12)</w:t>
            </w:r>
          </w:p>
        </w:tc>
        <w:tc>
          <w:tcPr>
            <w:tcW w:type="dxa" w:w="1320"/>
          </w:tcPr>
          <w:p>
            <w:pPr>
              <w:keepNext/>
              <w:spacing w:after="0" w:line="240" w:lineRule="auto"/>
              <w:ind w:firstLine="0"/>
              <w:jc w:val="left"/>
            </w:pPr>
            <w:r/>
            <w:r>
              <w:rPr>
                <w:sz w:val="20"/>
              </w:rPr>
              <w:t>0.47</w:t>
            </w:r>
          </w:p>
        </w:tc>
      </w:tr>
      <w:tr>
        <w:trPr>
          <w:cantSplit w:val="true"/>
        </w:trPr>
        <w:tc>
          <w:tcPr>
            <w:tcW w:type="dxa" w:w="2313"/>
          </w:tcPr>
          <w:p>
            <w:pPr>
              <w:keepNext/>
              <w:spacing w:after="0" w:line="240" w:lineRule="auto"/>
              <w:ind w:firstLine="0"/>
              <w:jc w:val="left"/>
            </w:pPr>
            <w:r/>
            <w:r>
              <w:rPr>
                <w:sz w:val="20"/>
              </w:rPr>
              <w:t>TCGA: один возраст, подгруппа с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1.036 (1.026–1.047)</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один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0.90 (0.80–1.00)</w:t>
            </w:r>
          </w:p>
        </w:tc>
        <w:tc>
          <w:tcPr>
            <w:tcW w:type="dxa" w:w="1320"/>
          </w:tcPr>
          <w:p>
            <w:pPr>
              <w:keepNext/>
              <w:spacing w:after="0" w:line="240" w:lineRule="auto"/>
              <w:ind w:firstLine="0"/>
              <w:jc w:val="left"/>
            </w:pPr>
            <w:r/>
            <w:r>
              <w:rPr>
                <w:sz w:val="20"/>
              </w:rPr>
              <w:t>0.057</w:t>
            </w:r>
          </w:p>
        </w:tc>
      </w:tr>
      <w:tr>
        <w:trPr>
          <w:cantSplit w:val="true"/>
        </w:trPr>
        <w:tc>
          <w:tcPr>
            <w:tcW w:type="dxa" w:w="2313"/>
          </w:tcPr>
          <w:p>
            <w:pPr>
              <w:keepNext/>
              <w:spacing w:after="0" w:line="240" w:lineRule="auto"/>
              <w:ind w:firstLine="0"/>
              <w:jc w:val="left"/>
            </w:pPr>
            <w:r/>
            <w:r>
              <w:rPr>
                <w:sz w:val="20"/>
              </w:rPr>
              <w:t>TCGA: возраст +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1.037 (1.026–1.048)</w:t>
            </w:r>
          </w:p>
        </w:tc>
        <w:tc>
          <w:tcPr>
            <w:tcW w:type="dxa" w:w="1932"/>
          </w:tcPr>
          <w:p>
            <w:pPr>
              <w:keepNext/>
              <w:spacing w:after="0" w:line="240" w:lineRule="auto"/>
              <w:ind w:firstLine="0"/>
              <w:jc w:val="left"/>
            </w:pPr>
            <w:r/>
            <w:r>
              <w:rPr>
                <w:sz w:val="20"/>
              </w:rPr>
              <w:t>1.01 (0.90–1.14)</w:t>
            </w:r>
          </w:p>
        </w:tc>
        <w:tc>
          <w:tcPr>
            <w:tcW w:type="dxa" w:w="1320"/>
          </w:tcPr>
          <w:p>
            <w:pPr>
              <w:keepNext/>
              <w:spacing w:after="0" w:line="240" w:lineRule="auto"/>
              <w:ind w:firstLine="0"/>
              <w:jc w:val="left"/>
            </w:pPr>
            <w:r/>
            <w:r>
              <w:rPr>
                <w:sz w:val="20"/>
              </w:rPr>
              <w:t>0.87</w:t>
            </w:r>
          </w:p>
        </w:tc>
      </w:tr>
      <w:tr>
        <w:trPr>
          <w:cantSplit w:val="true"/>
        </w:trPr>
        <w:tc>
          <w:tcPr>
            <w:tcW w:type="dxa" w:w="2313"/>
          </w:tcPr>
          <w:p>
            <w:pPr>
              <w:keepNext/>
              <w:spacing w:after="0" w:line="240" w:lineRule="auto"/>
              <w:ind w:firstLine="0"/>
              <w:jc w:val="left"/>
            </w:pPr>
            <w:r/>
            <w:r>
              <w:rPr>
                <w:sz w:val="20"/>
              </w:rPr>
              <w:t>TCGA: возраст + MATH + пол + MGMT + IDH</w:t>
            </w:r>
          </w:p>
        </w:tc>
        <w:tc>
          <w:tcPr>
            <w:tcW w:type="dxa" w:w="706"/>
          </w:tcPr>
          <w:p>
            <w:pPr>
              <w:keepNext/>
              <w:spacing w:after="0" w:line="240" w:lineRule="auto"/>
              <w:ind w:firstLine="0"/>
              <w:jc w:val="left"/>
            </w:pPr>
            <w:r/>
            <w:r>
              <w:rPr>
                <w:sz w:val="20"/>
              </w:rPr>
              <w:t>235</w:t>
            </w:r>
          </w:p>
        </w:tc>
        <w:tc>
          <w:tcPr>
            <w:tcW w:type="dxa" w:w="933"/>
          </w:tcPr>
          <w:p>
            <w:pPr>
              <w:keepNext/>
              <w:spacing w:after="0" w:line="240" w:lineRule="auto"/>
              <w:ind w:firstLine="0"/>
              <w:jc w:val="left"/>
            </w:pPr>
            <w:r/>
            <w:r>
              <w:rPr>
                <w:sz w:val="20"/>
              </w:rPr>
              <w:t>177</w:t>
            </w:r>
          </w:p>
        </w:tc>
        <w:tc>
          <w:tcPr>
            <w:tcW w:type="dxa" w:w="1867"/>
          </w:tcPr>
          <w:p>
            <w:pPr>
              <w:keepNext/>
              <w:spacing w:after="0" w:line="240" w:lineRule="auto"/>
              <w:ind w:firstLine="0"/>
              <w:jc w:val="left"/>
            </w:pPr>
            <w:r/>
            <w:r>
              <w:rPr>
                <w:sz w:val="20"/>
              </w:rPr>
              <w:t>1.036 (1.021–1.050)</w:t>
            </w:r>
          </w:p>
        </w:tc>
        <w:tc>
          <w:tcPr>
            <w:tcW w:type="dxa" w:w="1932"/>
          </w:tcPr>
          <w:p>
            <w:pPr>
              <w:keepNext/>
              <w:spacing w:after="0" w:line="240" w:lineRule="auto"/>
              <w:ind w:firstLine="0"/>
              <w:jc w:val="left"/>
            </w:pPr>
            <w:r/>
            <w:r>
              <w:rPr>
                <w:sz w:val="20"/>
              </w:rPr>
              <w:t>1.08 (0.89–1.30)</w:t>
            </w:r>
          </w:p>
        </w:tc>
        <w:tc>
          <w:tcPr>
            <w:tcW w:type="dxa" w:w="1320"/>
          </w:tcPr>
          <w:p>
            <w:pPr>
              <w:keepNext/>
              <w:spacing w:after="0" w:line="240" w:lineRule="auto"/>
              <w:ind w:firstLine="0"/>
              <w:jc w:val="left"/>
            </w:pPr>
            <w:r/>
            <w:r>
              <w:rPr>
                <w:sz w:val="20"/>
              </w:rPr>
              <w:t>0.45</w:t>
            </w:r>
          </w:p>
        </w:tc>
      </w:tr>
      <w:tr>
        <w:trPr>
          <w:cantSplit w:val="true"/>
        </w:trPr>
        <w:tc>
          <w:tcPr>
            <w:tcW w:type="dxa" w:w="2313"/>
          </w:tcPr>
          <w:p>
            <w:pPr>
              <w:keepNext/>
              <w:spacing w:after="0" w:line="240" w:lineRule="auto"/>
              <w:ind w:firstLine="0"/>
              <w:jc w:val="left"/>
            </w:pPr>
            <w:r/>
            <w:r>
              <w:rPr>
                <w:sz w:val="20"/>
              </w:rPr>
              <w:t>CGGA: один возраст</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CGGA: одна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1.02 (0.86–1.21)</w:t>
            </w:r>
          </w:p>
        </w:tc>
        <w:tc>
          <w:tcPr>
            <w:tcW w:type="dxa" w:w="1320"/>
          </w:tcPr>
          <w:p>
            <w:pPr>
              <w:keepNext/>
              <w:spacing w:after="0" w:line="240" w:lineRule="auto"/>
              <w:ind w:firstLine="0"/>
              <w:jc w:val="left"/>
            </w:pPr>
            <w:r/>
            <w:r>
              <w:rPr>
                <w:sz w:val="20"/>
              </w:rPr>
              <w:t>0.78</w:t>
            </w:r>
          </w:p>
        </w:tc>
      </w:tr>
      <w:tr>
        <w:trPr>
          <w:cantSplit w:val="true"/>
        </w:trPr>
        <w:tc>
          <w:tcPr>
            <w:tcW w:type="dxa" w:w="2313"/>
          </w:tcPr>
          <w:p>
            <w:pPr>
              <w:keepNext/>
              <w:spacing w:after="0" w:line="240" w:lineRule="auto"/>
              <w:ind w:firstLine="0"/>
              <w:jc w:val="left"/>
            </w:pPr>
            <w:r/>
            <w:r>
              <w:rPr>
                <w:sz w:val="20"/>
              </w:rPr>
              <w:t>CGGA: возраст +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1.02 (0.86–1.20)</w:t>
            </w:r>
          </w:p>
        </w:tc>
        <w:tc>
          <w:tcPr>
            <w:tcW w:type="dxa" w:w="1320"/>
          </w:tcPr>
          <w:p>
            <w:pPr>
              <w:keepNext/>
              <w:spacing w:after="0" w:line="240" w:lineRule="auto"/>
              <w:ind w:firstLine="0"/>
              <w:jc w:val="left"/>
            </w:pPr>
            <w:r/>
            <w:r>
              <w:rPr>
                <w:sz w:val="20"/>
              </w:rPr>
              <w:t>0.83</w:t>
            </w:r>
          </w:p>
        </w:tc>
      </w:tr>
      <w:tr>
        <w:trPr>
          <w:cantSplit w:val="true"/>
        </w:trPr>
        <w:tc>
          <w:tcPr>
            <w:tcW w:type="dxa" w:w="2313"/>
          </w:tcPr>
          <w:p>
            <w:pPr>
              <w:spacing w:after="0" w:line="240" w:lineRule="auto"/>
              <w:ind w:firstLine="0"/>
              <w:jc w:val="left"/>
            </w:pPr>
            <w:r/>
            <w:r>
              <w:rPr>
                <w:sz w:val="20"/>
              </w:rPr>
              <w:t>CGGA: возраст + энтропия + пол + MGMT + IDH</w:t>
            </w:r>
          </w:p>
        </w:tc>
        <w:tc>
          <w:tcPr>
            <w:tcW w:type="dxa" w:w="706"/>
          </w:tcPr>
          <w:p>
            <w:pPr>
              <w:spacing w:after="0" w:line="240" w:lineRule="auto"/>
              <w:ind w:firstLine="0"/>
              <w:jc w:val="left"/>
            </w:pPr>
            <w:r/>
            <w:r>
              <w:rPr>
                <w:sz w:val="20"/>
              </w:rPr>
              <w:t>194</w:t>
            </w:r>
          </w:p>
        </w:tc>
        <w:tc>
          <w:tcPr>
            <w:tcW w:type="dxa" w:w="933"/>
          </w:tcPr>
          <w:p>
            <w:pPr>
              <w:spacing w:after="0" w:line="240" w:lineRule="auto"/>
              <w:ind w:firstLine="0"/>
              <w:jc w:val="left"/>
            </w:pPr>
            <w:r/>
            <w:r>
              <w:rPr>
                <w:sz w:val="20"/>
              </w:rPr>
              <w:t>165</w:t>
            </w:r>
          </w:p>
        </w:tc>
        <w:tc>
          <w:tcPr>
            <w:tcW w:type="dxa" w:w="1867"/>
          </w:tcPr>
          <w:p>
            <w:pPr>
              <w:spacing w:after="0" w:line="240" w:lineRule="auto"/>
              <w:ind w:firstLine="0"/>
              <w:jc w:val="left"/>
            </w:pPr>
            <w:r/>
            <w:r>
              <w:rPr>
                <w:sz w:val="20"/>
              </w:rPr>
              <w:t>1.013 (1.001–1.026)</w:t>
            </w:r>
          </w:p>
        </w:tc>
        <w:tc>
          <w:tcPr>
            <w:tcW w:type="dxa" w:w="1932"/>
          </w:tcPr>
          <w:p>
            <w:pPr>
              <w:spacing w:after="0" w:line="240" w:lineRule="auto"/>
              <w:ind w:firstLine="0"/>
              <w:jc w:val="left"/>
            </w:pPr>
            <w:r/>
            <w:r>
              <w:rPr>
                <w:sz w:val="20"/>
              </w:rPr>
              <w:t>0.99 (0.84–1.18)</w:t>
            </w:r>
          </w:p>
        </w:tc>
        <w:tc>
          <w:tcPr>
            <w:tcW w:type="dxa" w:w="1320"/>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ru.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10. Кривые Каплана — Мейера по терцилям энтропии клеточных состояний в TCGA (слева) и CGGA (справа).</w:t>
      </w:r>
    </w:p>
    <w:p>
      <w:pPr>
        <w:pStyle w:val="Heading2"/>
      </w:pPr>
      <w:r>
        <w:t>3.12. Эффект возраста в тринадцати когортах</w:t>
      </w:r>
    </w:p>
    <w:p>
      <w:pPr>
        <w:ind w:firstLine="567"/>
      </w:pPr>
      <w:r>
        <w:t>Две дополнительные когорты с индивидуальными данными легли между TCGA и CGGA. В MSK-IMPACT (485 пациентов, 223 смерти, медиана выживаемости 23.5 месяца) отношение рисков на год составило 1.025 (95 % ДИ от 1.014 до 1.036); в CPTAC (96 пациентов, 62 смерти) — 1.028 (от 1.006 до 1.049). Одна модель по четырём когортам с общим наклоном по возрасту дала 1.029 (от 1.024 до 1.034), а проверка того, различается ли наклон между когортами, с четырьмя когортами перестала быть значимой (критерий отношения правдоподобия p = 0.105, 3 степени свободы). Объединение четырёх когорт случайными эффектами дало 1.028 (от 1.021 до 1.035) при I² = 38 %.</w:t>
      </w:r>
    </w:p>
    <w:p>
      <w:pPr>
        <w:ind w:firstLine="567"/>
      </w:pPr>
      <w:r>
        <w:t>Девять опубликованных когорт добавили около 39 400 пациентов — от исследовательской группы в 799 человек до регистрового анализа SEER в 34 664 пациента. Их оценки лежали от 1.017 до 1.040 на год, и каждый интервал исключал 1.0. Объединение всех тринадцати когорт дало отношение рисков 1.028 на год (95 % ДИ от 1.024 до 1.033; по Хартунгу — Кнаппу от 1.023 до 1.034), межкогортное стандартное отклонение 0.007 в логарифмической шкале и 95 % интервал предсказания от 1.012 до 1.045 (таблица 12, рисунок 11). Словами: в новой когорте глиобластомы каждый год возраста, как ожидается, повысит риск смерти где-то между 1 % и 4.5 %, скорее всего примерно на 3 %. I² в 79 % выглядит большим, но его создаёт одна когорта: у анализа SEER интервал настолько узкий, что любое отличие от него засчитывается как гетерогенность, а без него I² падает до 49 %, а объединённая оценка — до 1.027 (от 1.023 до 1.032). Исключение любой одной когорты сдвигало объединённую оценку в пределах от 1.027 до 1.030.</w:t>
      </w:r>
    </w:p>
    <w:p>
      <w:pPr>
        <w:ind w:firstLine="567"/>
      </w:pPr>
      <w:r>
        <w:t>Подгруппы согласовались между собой. Когорты только IDH-дикого типа дали 1.031 (от 1.025 до 1.037), когорты без отбора — 1.027 (от 1.020 до 1.034); когорты эпохи темозоломида — 1.027 (от 1.023 до 1.032), смешанной эпохи — 1.032 (от 1.023 до 1.040); скорректированные оценки — 1.028, нескорректированные — 1.029. Медианный возраст когорты её оценку не объяснял: наклон метарегрессии соответствует изменению отношения рисков в 1.002 раза на десять лет медианного возраста когорты (p = 0.77; рисунок 12). Наша оценка CGGA 1.020 находится на нижнем краю распределения, но внутри интервала предсказания и рядом с копенгагенской и норвежской популяционными когортами, так что выбросом она не является. То, что выглядело разногласием двух когорт, оказалось обычным разбросом одного эффекта.</w:t>
      </w:r>
    </w:p>
    <w:p>
      <w:pPr>
        <w:keepNext/>
        <w:spacing w:after="80"/>
        <w:jc w:val="left"/>
      </w:pPr>
      <w:r>
        <w:rPr>
          <w:b/>
          <w:sz w:val="22"/>
        </w:rPr>
        <w:t>Таблица 12. Эффект возраста в тринадцати когортах глиобластомы и объединённые оценки. Опубликованные оценки при необходимости пересчитаны на год; источник каждого значения приведён в приложении Д.</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65"/>
        <w:gridCol w:w="2012"/>
        <w:gridCol w:w="1261"/>
        <w:gridCol w:w="2012"/>
        <w:gridCol w:w="1317"/>
      </w:tblGrid>
      <w:tr>
        <w:trPr>
          <w:cantSplit w:val="true"/>
          <w:tblHeader w:val="true"/>
        </w:trPr>
        <w:tc>
          <w:tcPr>
            <w:tcW w:type="dxa" w:w="2465"/>
            <w:shd w:val="clear" w:fill="E7EEF6"/>
          </w:tcPr>
          <w:p>
            <w:pPr>
              <w:spacing w:after="0" w:line="240" w:lineRule="auto"/>
              <w:ind w:firstLine="0"/>
              <w:jc w:val="left"/>
            </w:pPr>
            <w:r/>
            <w:r>
              <w:rPr>
                <w:b/>
                <w:sz w:val="20"/>
              </w:rPr>
              <w:t>Когорта</w:t>
            </w:r>
          </w:p>
        </w:tc>
        <w:tc>
          <w:tcPr>
            <w:tcW w:type="dxa" w:w="2013"/>
            <w:shd w:val="clear" w:fill="E7EEF6"/>
          </w:tcPr>
          <w:p>
            <w:pPr>
              <w:spacing w:after="0" w:line="240" w:lineRule="auto"/>
              <w:ind w:firstLine="0"/>
              <w:jc w:val="left"/>
            </w:pPr>
            <w:r/>
            <w:r>
              <w:rPr>
                <w:b/>
                <w:sz w:val="20"/>
              </w:rPr>
              <w:t>Страна, годы диагноза</w:t>
            </w:r>
          </w:p>
        </w:tc>
        <w:tc>
          <w:tcPr>
            <w:tcW w:type="dxa" w:w="1262"/>
            <w:shd w:val="clear" w:fill="E7EEF6"/>
          </w:tcPr>
          <w:p>
            <w:pPr>
              <w:spacing w:after="0" w:line="240" w:lineRule="auto"/>
              <w:ind w:firstLine="0"/>
              <w:jc w:val="left"/>
            </w:pPr>
            <w:r/>
            <w:r>
              <w:rPr>
                <w:b/>
                <w:sz w:val="20"/>
              </w:rPr>
              <w:t>n (смертей)</w:t>
            </w:r>
          </w:p>
        </w:tc>
        <w:tc>
          <w:tcPr>
            <w:tcW w:type="dxa" w:w="2013"/>
            <w:shd w:val="clear" w:fill="E7EEF6"/>
          </w:tcPr>
          <w:p>
            <w:pPr>
              <w:spacing w:after="0" w:line="240" w:lineRule="auto"/>
              <w:ind w:firstLine="0"/>
              <w:jc w:val="left"/>
            </w:pPr>
            <w:r/>
            <w:r>
              <w:rPr>
                <w:b/>
                <w:sz w:val="20"/>
              </w:rPr>
              <w:t>ОР на год (95 % ДИ)</w:t>
            </w:r>
          </w:p>
        </w:tc>
        <w:tc>
          <w:tcPr>
            <w:tcW w:type="dxa" w:w="1318"/>
            <w:shd w:val="clear" w:fill="E7EEF6"/>
          </w:tcPr>
          <w:p>
            <w:pPr>
              <w:spacing w:after="0" w:line="240" w:lineRule="auto"/>
              <w:ind w:firstLine="0"/>
              <w:jc w:val="left"/>
            </w:pPr>
            <w:r/>
            <w:r>
              <w:rPr>
                <w:b/>
                <w:sz w:val="20"/>
              </w:rPr>
              <w:t>С поправками</w:t>
            </w:r>
          </w:p>
        </w:tc>
      </w:tr>
      <w:tr>
        <w:trPr>
          <w:cantSplit w:val="true"/>
        </w:trPr>
        <w:tc>
          <w:tcPr>
            <w:tcW w:type="dxa" w:w="2465"/>
          </w:tcPr>
          <w:p>
            <w:pPr>
              <w:spacing w:after="0" w:line="240" w:lineRule="auto"/>
              <w:ind w:firstLine="0"/>
              <w:jc w:val="left"/>
            </w:pPr>
            <w:r/>
            <w:r>
              <w:rPr>
                <w:sz w:val="20"/>
              </w:rPr>
              <w:t>TCGA-GBM (эта работа)</w:t>
            </w:r>
          </w:p>
        </w:tc>
        <w:tc>
          <w:tcPr>
            <w:tcW w:type="dxa" w:w="2013"/>
          </w:tcPr>
          <w:p>
            <w:pPr>
              <w:spacing w:after="0" w:line="240" w:lineRule="auto"/>
              <w:ind w:firstLine="0"/>
              <w:jc w:val="left"/>
            </w:pPr>
            <w:r/>
            <w:r>
              <w:rPr>
                <w:sz w:val="20"/>
              </w:rPr>
              <w:t>США, 1989–2013</w:t>
            </w:r>
          </w:p>
        </w:tc>
        <w:tc>
          <w:tcPr>
            <w:tcW w:type="dxa" w:w="1262"/>
          </w:tcPr>
          <w:p>
            <w:pPr>
              <w:spacing w:after="0" w:line="240" w:lineRule="auto"/>
              <w:ind w:firstLine="0"/>
              <w:jc w:val="left"/>
            </w:pPr>
            <w:r/>
            <w:r>
              <w:rPr>
                <w:sz w:val="20"/>
              </w:rPr>
              <w:t>593 (492)</w:t>
            </w:r>
          </w:p>
        </w:tc>
        <w:tc>
          <w:tcPr>
            <w:tcW w:type="dxa" w:w="2013"/>
          </w:tcPr>
          <w:p>
            <w:pPr>
              <w:spacing w:after="0" w:line="240" w:lineRule="auto"/>
              <w:ind w:firstLine="0"/>
              <w:jc w:val="left"/>
            </w:pPr>
            <w:r/>
            <w:r>
              <w:rPr>
                <w:sz w:val="20"/>
              </w:rPr>
              <w:t>1.034 (1.027–1.042)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CGGA (эта работа)</w:t>
            </w:r>
          </w:p>
        </w:tc>
        <w:tc>
          <w:tcPr>
            <w:tcW w:type="dxa" w:w="2013"/>
          </w:tcPr>
          <w:p>
            <w:pPr>
              <w:spacing w:after="0" w:line="240" w:lineRule="auto"/>
              <w:ind w:firstLine="0"/>
              <w:jc w:val="left"/>
            </w:pPr>
            <w:r/>
            <w:r>
              <w:rPr>
                <w:sz w:val="20"/>
              </w:rPr>
              <w:t>Китай, 2006–2016</w:t>
            </w:r>
          </w:p>
        </w:tc>
        <w:tc>
          <w:tcPr>
            <w:tcW w:type="dxa" w:w="1262"/>
          </w:tcPr>
          <w:p>
            <w:pPr>
              <w:spacing w:after="0" w:line="240" w:lineRule="auto"/>
              <w:ind w:firstLine="0"/>
              <w:jc w:val="left"/>
            </w:pPr>
            <w:r/>
            <w:r>
              <w:rPr>
                <w:sz w:val="20"/>
              </w:rPr>
              <w:t>218 (183)</w:t>
            </w:r>
          </w:p>
        </w:tc>
        <w:tc>
          <w:tcPr>
            <w:tcW w:type="dxa" w:w="2013"/>
          </w:tcPr>
          <w:p>
            <w:pPr>
              <w:spacing w:after="0" w:line="240" w:lineRule="auto"/>
              <w:ind w:firstLine="0"/>
              <w:jc w:val="left"/>
            </w:pPr>
            <w:r/>
            <w:r>
              <w:rPr>
                <w:sz w:val="20"/>
              </w:rPr>
              <w:t>1.020 (1.008–1.032)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MSK-IMPACT (эта работа)</w:t>
            </w:r>
          </w:p>
        </w:tc>
        <w:tc>
          <w:tcPr>
            <w:tcW w:type="dxa" w:w="2013"/>
          </w:tcPr>
          <w:p>
            <w:pPr>
              <w:spacing w:after="0" w:line="240" w:lineRule="auto"/>
              <w:ind w:firstLine="0"/>
              <w:jc w:val="left"/>
            </w:pPr>
            <w:r/>
            <w:r>
              <w:rPr>
                <w:sz w:val="20"/>
              </w:rPr>
              <w:t>США, 2014–2018</w:t>
            </w:r>
          </w:p>
        </w:tc>
        <w:tc>
          <w:tcPr>
            <w:tcW w:type="dxa" w:w="1262"/>
          </w:tcPr>
          <w:p>
            <w:pPr>
              <w:spacing w:after="0" w:line="240" w:lineRule="auto"/>
              <w:ind w:firstLine="0"/>
              <w:jc w:val="left"/>
            </w:pPr>
            <w:r/>
            <w:r>
              <w:rPr>
                <w:sz w:val="20"/>
              </w:rPr>
              <w:t>485 (223)</w:t>
            </w:r>
          </w:p>
        </w:tc>
        <w:tc>
          <w:tcPr>
            <w:tcW w:type="dxa" w:w="2013"/>
          </w:tcPr>
          <w:p>
            <w:pPr>
              <w:spacing w:after="0" w:line="240" w:lineRule="auto"/>
              <w:ind w:firstLine="0"/>
              <w:jc w:val="left"/>
            </w:pPr>
            <w:r/>
            <w:r>
              <w:rPr>
                <w:sz w:val="20"/>
              </w:rPr>
              <w:t>1.025 (1.014–1.036)</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CPTAC-GBM (эта работа)</w:t>
            </w:r>
          </w:p>
        </w:tc>
        <w:tc>
          <w:tcPr>
            <w:tcW w:type="dxa" w:w="2013"/>
          </w:tcPr>
          <w:p>
            <w:pPr>
              <w:spacing w:after="0" w:line="240" w:lineRule="auto"/>
              <w:ind w:firstLine="0"/>
              <w:jc w:val="left"/>
            </w:pPr>
            <w:r/>
            <w:r>
              <w:rPr>
                <w:sz w:val="20"/>
              </w:rPr>
              <w:t>США/международная, 2016–2019</w:t>
            </w:r>
          </w:p>
        </w:tc>
        <w:tc>
          <w:tcPr>
            <w:tcW w:type="dxa" w:w="1262"/>
          </w:tcPr>
          <w:p>
            <w:pPr>
              <w:spacing w:after="0" w:line="240" w:lineRule="auto"/>
              <w:ind w:firstLine="0"/>
              <w:jc w:val="left"/>
            </w:pPr>
            <w:r/>
            <w:r>
              <w:rPr>
                <w:sz w:val="20"/>
              </w:rPr>
              <w:t>96 (62)</w:t>
            </w:r>
          </w:p>
        </w:tc>
        <w:tc>
          <w:tcPr>
            <w:tcW w:type="dxa" w:w="2013"/>
          </w:tcPr>
          <w:p>
            <w:pPr>
              <w:spacing w:after="0" w:line="240" w:lineRule="auto"/>
              <w:ind w:firstLine="0"/>
              <w:jc w:val="left"/>
            </w:pPr>
            <w:r/>
            <w:r>
              <w:rPr>
                <w:sz w:val="20"/>
              </w:rPr>
              <w:t>1.028 (1.006–1.049)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NRG/RTOG 0525 [44]</w:t>
            </w:r>
          </w:p>
        </w:tc>
        <w:tc>
          <w:tcPr>
            <w:tcW w:type="dxa" w:w="2013"/>
          </w:tcPr>
          <w:p>
            <w:pPr>
              <w:spacing w:after="0" w:line="240" w:lineRule="auto"/>
              <w:ind w:firstLine="0"/>
              <w:jc w:val="left"/>
            </w:pPr>
            <w:r/>
            <w:r>
              <w:rPr>
                <w:sz w:val="20"/>
              </w:rPr>
              <w:t>США/Канада, 2006–2008</w:t>
            </w:r>
          </w:p>
        </w:tc>
        <w:tc>
          <w:tcPr>
            <w:tcW w:type="dxa" w:w="1262"/>
          </w:tcPr>
          <w:p>
            <w:pPr>
              <w:spacing w:after="0" w:line="240" w:lineRule="auto"/>
              <w:ind w:firstLine="0"/>
              <w:jc w:val="left"/>
            </w:pPr>
            <w:r/>
            <w:r>
              <w:rPr>
                <w:sz w:val="20"/>
              </w:rPr>
              <w:t>799 (625)</w:t>
            </w:r>
          </w:p>
        </w:tc>
        <w:tc>
          <w:tcPr>
            <w:tcW w:type="dxa" w:w="2013"/>
          </w:tcPr>
          <w:p>
            <w:pPr>
              <w:spacing w:after="0" w:line="240" w:lineRule="auto"/>
              <w:ind w:firstLine="0"/>
              <w:jc w:val="left"/>
            </w:pPr>
            <w:r/>
            <w:r>
              <w:rPr>
                <w:sz w:val="20"/>
              </w:rPr>
              <w:t>1.030 (1.022–1.038)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Ohio Brain Tumor Study [45]</w:t>
            </w:r>
          </w:p>
        </w:tc>
        <w:tc>
          <w:tcPr>
            <w:tcW w:type="dxa" w:w="2013"/>
          </w:tcPr>
          <w:p>
            <w:pPr>
              <w:spacing w:after="0" w:line="240" w:lineRule="auto"/>
              <w:ind w:firstLine="0"/>
              <w:jc w:val="left"/>
            </w:pPr>
            <w:r/>
            <w:r>
              <w:rPr>
                <w:sz w:val="20"/>
              </w:rPr>
              <w:t>США, 2007–2017</w:t>
            </w:r>
          </w:p>
        </w:tc>
        <w:tc>
          <w:tcPr>
            <w:tcW w:type="dxa" w:w="1262"/>
          </w:tcPr>
          <w:p>
            <w:pPr>
              <w:spacing w:after="0" w:line="240" w:lineRule="auto"/>
              <w:ind w:firstLine="0"/>
              <w:jc w:val="left"/>
            </w:pPr>
            <w:r/>
            <w:r>
              <w:rPr>
                <w:sz w:val="20"/>
              </w:rPr>
              <w:t>179 (163)</w:t>
            </w:r>
          </w:p>
        </w:tc>
        <w:tc>
          <w:tcPr>
            <w:tcW w:type="dxa" w:w="2013"/>
          </w:tcPr>
          <w:p>
            <w:pPr>
              <w:spacing w:after="0" w:line="240" w:lineRule="auto"/>
              <w:ind w:firstLine="0"/>
              <w:jc w:val="left"/>
            </w:pPr>
            <w:r/>
            <w:r>
              <w:rPr>
                <w:sz w:val="20"/>
              </w:rPr>
              <w:t>1.018 (1.002–1.034)</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Копенгаген [46]</w:t>
            </w:r>
          </w:p>
        </w:tc>
        <w:tc>
          <w:tcPr>
            <w:tcW w:type="dxa" w:w="2013"/>
          </w:tcPr>
          <w:p>
            <w:pPr>
              <w:spacing w:after="0" w:line="240" w:lineRule="auto"/>
              <w:ind w:firstLine="0"/>
              <w:jc w:val="left"/>
            </w:pPr>
            <w:r/>
            <w:r>
              <w:rPr>
                <w:sz w:val="20"/>
              </w:rPr>
              <w:t>Дания, 2005–2016</w:t>
            </w:r>
          </w:p>
        </w:tc>
        <w:tc>
          <w:tcPr>
            <w:tcW w:type="dxa" w:w="1262"/>
          </w:tcPr>
          <w:p>
            <w:pPr>
              <w:spacing w:after="0" w:line="240" w:lineRule="auto"/>
              <w:ind w:firstLine="0"/>
              <w:jc w:val="left"/>
            </w:pPr>
            <w:r/>
            <w:r>
              <w:rPr>
                <w:sz w:val="20"/>
              </w:rPr>
              <w:t>680 (646)</w:t>
            </w:r>
          </w:p>
        </w:tc>
        <w:tc>
          <w:tcPr>
            <w:tcW w:type="dxa" w:w="2013"/>
          </w:tcPr>
          <w:p>
            <w:pPr>
              <w:spacing w:after="0" w:line="240" w:lineRule="auto"/>
              <w:ind w:firstLine="0"/>
              <w:jc w:val="left"/>
            </w:pPr>
            <w:r/>
            <w:r>
              <w:rPr>
                <w:sz w:val="20"/>
              </w:rPr>
              <w:t>1.017 (1.008–1.025)</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Норвегия, популяционная [47]</w:t>
            </w:r>
          </w:p>
        </w:tc>
        <w:tc>
          <w:tcPr>
            <w:tcW w:type="dxa" w:w="2013"/>
          </w:tcPr>
          <w:p>
            <w:pPr>
              <w:spacing w:after="0" w:line="240" w:lineRule="auto"/>
              <w:ind w:firstLine="0"/>
              <w:jc w:val="left"/>
            </w:pPr>
            <w:r/>
            <w:r>
              <w:rPr>
                <w:sz w:val="20"/>
              </w:rPr>
              <w:t>Норвегия, 2000–2007</w:t>
            </w:r>
          </w:p>
        </w:tc>
        <w:tc>
          <w:tcPr>
            <w:tcW w:type="dxa" w:w="1262"/>
          </w:tcPr>
          <w:p>
            <w:pPr>
              <w:spacing w:after="0" w:line="240" w:lineRule="auto"/>
              <w:ind w:firstLine="0"/>
              <w:jc w:val="left"/>
            </w:pPr>
            <w:r/>
            <w:r>
              <w:rPr>
                <w:sz w:val="20"/>
              </w:rPr>
              <w:t>694</w:t>
            </w:r>
          </w:p>
        </w:tc>
        <w:tc>
          <w:tcPr>
            <w:tcW w:type="dxa" w:w="2013"/>
          </w:tcPr>
          <w:p>
            <w:pPr>
              <w:spacing w:after="0" w:line="240" w:lineRule="auto"/>
              <w:ind w:firstLine="0"/>
              <w:jc w:val="left"/>
            </w:pPr>
            <w:r/>
            <w:r>
              <w:rPr>
                <w:sz w:val="20"/>
              </w:rPr>
              <w:t>1.020 (1.010–1.030)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SEER [48]</w:t>
            </w:r>
          </w:p>
        </w:tc>
        <w:tc>
          <w:tcPr>
            <w:tcW w:type="dxa" w:w="2013"/>
          </w:tcPr>
          <w:p>
            <w:pPr>
              <w:spacing w:after="0" w:line="240" w:lineRule="auto"/>
              <w:ind w:firstLine="0"/>
              <w:jc w:val="left"/>
            </w:pPr>
            <w:r/>
            <w:r>
              <w:rPr>
                <w:sz w:val="20"/>
              </w:rPr>
              <w:t>США, 1973–2008</w:t>
            </w:r>
          </w:p>
        </w:tc>
        <w:tc>
          <w:tcPr>
            <w:tcW w:type="dxa" w:w="1262"/>
          </w:tcPr>
          <w:p>
            <w:pPr>
              <w:spacing w:after="0" w:line="240" w:lineRule="auto"/>
              <w:ind w:firstLine="0"/>
              <w:jc w:val="left"/>
            </w:pPr>
            <w:r/>
            <w:r>
              <w:rPr>
                <w:sz w:val="20"/>
              </w:rPr>
              <w:t>34 664</w:t>
            </w:r>
          </w:p>
        </w:tc>
        <w:tc>
          <w:tcPr>
            <w:tcW w:type="dxa" w:w="2013"/>
          </w:tcPr>
          <w:p>
            <w:pPr>
              <w:spacing w:after="0" w:line="240" w:lineRule="auto"/>
              <w:ind w:firstLine="0"/>
              <w:jc w:val="left"/>
            </w:pPr>
            <w:r/>
            <w:r>
              <w:rPr>
                <w:sz w:val="20"/>
              </w:rPr>
              <w:t>1.037 (1.036–1.038)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Dana-Farber [49]</w:t>
            </w:r>
          </w:p>
        </w:tc>
        <w:tc>
          <w:tcPr>
            <w:tcW w:type="dxa" w:w="2013"/>
          </w:tcPr>
          <w:p>
            <w:pPr>
              <w:spacing w:after="0" w:line="240" w:lineRule="auto"/>
              <w:ind w:firstLine="0"/>
              <w:jc w:val="left"/>
            </w:pPr>
            <w:r/>
            <w:r>
              <w:rPr>
                <w:sz w:val="20"/>
              </w:rPr>
              <w:t>США, 2010–2019</w:t>
            </w:r>
          </w:p>
        </w:tc>
        <w:tc>
          <w:tcPr>
            <w:tcW w:type="dxa" w:w="1262"/>
          </w:tcPr>
          <w:p>
            <w:pPr>
              <w:spacing w:after="0" w:line="240" w:lineRule="auto"/>
              <w:ind w:firstLine="0"/>
              <w:jc w:val="left"/>
            </w:pPr>
            <w:r/>
            <w:r>
              <w:rPr>
                <w:sz w:val="20"/>
              </w:rPr>
              <w:t>665</w:t>
            </w:r>
          </w:p>
        </w:tc>
        <w:tc>
          <w:tcPr>
            <w:tcW w:type="dxa" w:w="2013"/>
          </w:tcPr>
          <w:p>
            <w:pPr>
              <w:spacing w:after="0" w:line="240" w:lineRule="auto"/>
              <w:ind w:firstLine="0"/>
              <w:jc w:val="left"/>
            </w:pPr>
            <w:r/>
            <w:r>
              <w:rPr>
                <w:sz w:val="20"/>
              </w:rPr>
              <w:t>1.040 (1.030–1.050)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Западная Норвегия [50]</w:t>
            </w:r>
          </w:p>
        </w:tc>
        <w:tc>
          <w:tcPr>
            <w:tcW w:type="dxa" w:w="2013"/>
          </w:tcPr>
          <w:p>
            <w:pPr>
              <w:spacing w:after="0" w:line="240" w:lineRule="auto"/>
              <w:ind w:firstLine="0"/>
              <w:jc w:val="left"/>
            </w:pPr>
            <w:r/>
            <w:r>
              <w:rPr>
                <w:sz w:val="20"/>
              </w:rPr>
              <w:t>Норвегия, 2007–2014</w:t>
            </w:r>
          </w:p>
        </w:tc>
        <w:tc>
          <w:tcPr>
            <w:tcW w:type="dxa" w:w="1262"/>
          </w:tcPr>
          <w:p>
            <w:pPr>
              <w:spacing w:after="0" w:line="240" w:lineRule="auto"/>
              <w:ind w:firstLine="0"/>
              <w:jc w:val="left"/>
            </w:pPr>
            <w:r/>
            <w:r>
              <w:rPr>
                <w:sz w:val="20"/>
              </w:rPr>
              <w:t>235</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RANO resect [51]</w:t>
            </w:r>
          </w:p>
        </w:tc>
        <w:tc>
          <w:tcPr>
            <w:tcW w:type="dxa" w:w="2013"/>
          </w:tcPr>
          <w:p>
            <w:pPr>
              <w:spacing w:after="0" w:line="240" w:lineRule="auto"/>
              <w:ind w:firstLine="0"/>
              <w:jc w:val="left"/>
            </w:pPr>
            <w:r/>
            <w:r>
              <w:rPr>
                <w:sz w:val="20"/>
              </w:rPr>
              <w:t>США/Европа, до 2022</w:t>
            </w:r>
          </w:p>
        </w:tc>
        <w:tc>
          <w:tcPr>
            <w:tcW w:type="dxa" w:w="1262"/>
          </w:tcPr>
          <w:p>
            <w:pPr>
              <w:spacing w:after="0" w:line="240" w:lineRule="auto"/>
              <w:ind w:firstLine="0"/>
              <w:jc w:val="left"/>
            </w:pPr>
            <w:r/>
            <w:r>
              <w:rPr>
                <w:sz w:val="20"/>
              </w:rPr>
              <w:t>1 003 (667)</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Берген — Осло [52]</w:t>
            </w:r>
          </w:p>
        </w:tc>
        <w:tc>
          <w:tcPr>
            <w:tcW w:type="dxa" w:w="2013"/>
          </w:tcPr>
          <w:p>
            <w:pPr>
              <w:spacing w:after="0" w:line="240" w:lineRule="auto"/>
              <w:ind w:firstLine="0"/>
              <w:jc w:val="left"/>
            </w:pPr>
            <w:r/>
            <w:r>
              <w:rPr>
                <w:sz w:val="20"/>
              </w:rPr>
              <w:t>Норвегия, 2015–2017</w:t>
            </w:r>
          </w:p>
        </w:tc>
        <w:tc>
          <w:tcPr>
            <w:tcW w:type="dxa" w:w="1262"/>
          </w:tcPr>
          <w:p>
            <w:pPr>
              <w:spacing w:after="0" w:line="240" w:lineRule="auto"/>
              <w:ind w:firstLine="0"/>
              <w:jc w:val="left"/>
            </w:pPr>
            <w:r/>
            <w:r>
              <w:rPr>
                <w:sz w:val="20"/>
              </w:rPr>
              <w:t>467 (415)</w:t>
            </w:r>
          </w:p>
        </w:tc>
        <w:tc>
          <w:tcPr>
            <w:tcW w:type="dxa" w:w="2013"/>
          </w:tcPr>
          <w:p>
            <w:pPr>
              <w:spacing w:after="0" w:line="240" w:lineRule="auto"/>
              <w:ind w:firstLine="0"/>
              <w:jc w:val="left"/>
            </w:pPr>
            <w:r/>
            <w:r>
              <w:rPr>
                <w:sz w:val="20"/>
              </w:rPr>
              <w:t>1.030 (1.020–1.039)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Объединённая, наши четыре когорты</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1 392 (960)</w:t>
            </w:r>
          </w:p>
        </w:tc>
        <w:tc>
          <w:tcPr>
            <w:tcW w:type="dxa" w:w="2013"/>
          </w:tcPr>
          <w:p>
            <w:pPr>
              <w:spacing w:after="0" w:line="240" w:lineRule="auto"/>
              <w:ind w:firstLine="0"/>
              <w:jc w:val="left"/>
            </w:pPr>
            <w:r/>
            <w:r>
              <w:rPr>
                <w:sz w:val="20"/>
              </w:rPr>
              <w:t>1.028 (1.021–1.035), I² 38 %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девять опубликованных</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≈39 400</w:t>
            </w:r>
          </w:p>
        </w:tc>
        <w:tc>
          <w:tcPr>
            <w:tcW w:type="dxa" w:w="2013"/>
          </w:tcPr>
          <w:p>
            <w:pPr>
              <w:spacing w:after="0" w:line="240" w:lineRule="auto"/>
              <w:ind w:firstLine="0"/>
              <w:jc w:val="left"/>
            </w:pPr>
            <w:r/>
            <w:r>
              <w:rPr>
                <w:sz w:val="20"/>
              </w:rPr>
              <w:t>1.029 (1.023–1.035), I² 82 %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≈40 800</w:t>
            </w:r>
          </w:p>
        </w:tc>
        <w:tc>
          <w:tcPr>
            <w:tcW w:type="dxa" w:w="2013"/>
          </w:tcPr>
          <w:p>
            <w:pPr>
              <w:spacing w:after="0" w:line="240" w:lineRule="auto"/>
              <w:ind w:firstLine="0"/>
              <w:jc w:val="left"/>
            </w:pPr>
            <w:r/>
            <w:r>
              <w:rPr>
                <w:sz w:val="20"/>
              </w:rPr>
              <w:t>1.028 (1.024–1.033), I² 79 %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без SEER</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≈6 100</w:t>
            </w:r>
          </w:p>
        </w:tc>
        <w:tc>
          <w:tcPr>
            <w:tcW w:type="dxa" w:w="2013"/>
          </w:tcPr>
          <w:p>
            <w:pPr>
              <w:spacing w:after="0" w:line="240" w:lineRule="auto"/>
              <w:ind w:firstLine="0"/>
              <w:jc w:val="left"/>
            </w:pPr>
            <w:r/>
            <w:r>
              <w:rPr>
                <w:sz w:val="20"/>
              </w:rPr>
              <w:t>1.027 (1.023–1.032), I² 49 %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95 % интервал предсказания,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r>
          </w:p>
        </w:tc>
        <w:tc>
          <w:tcPr>
            <w:tcW w:type="dxa" w:w="2013"/>
          </w:tcPr>
          <w:p>
            <w:pPr>
              <w:spacing w:after="0" w:line="240" w:lineRule="auto"/>
              <w:ind w:firstLine="0"/>
              <w:jc w:val="left"/>
            </w:pPr>
            <w:r/>
            <w:r>
              <w:rPr>
                <w:sz w:val="20"/>
              </w:rPr>
              <w:t>1.012–1.045</w:t>
            </w:r>
          </w:p>
        </w:tc>
        <w:tc>
          <w:tcPr>
            <w:tcW w:type="dxa" w:w="131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3473"/>
            <wp:docPr id="11" name="Picture 11"/>
            <wp:cNvGraphicFramePr>
              <a:graphicFrameLocks noChangeAspect="1"/>
            </wp:cNvGraphicFramePr>
            <a:graphic>
              <a:graphicData uri="http://schemas.openxmlformats.org/drawingml/2006/picture">
                <pic:pic>
                  <pic:nvPicPr>
                    <pic:cNvPr id="0" name="fig11_metaforest_ru.png"/>
                    <pic:cNvPicPr/>
                  </pic:nvPicPr>
                  <pic:blipFill>
                    <a:blip r:embed="rId18"/>
                    <a:stretch>
                      <a:fillRect/>
                    </a:stretch>
                  </pic:blipFill>
                  <pic:spPr>
                    <a:xfrm>
                      <a:off x="0" y="0"/>
                      <a:ext cx="5486400" cy="4913473"/>
                    </a:xfrm>
                    <a:prstGeom prst="rect"/>
                  </pic:spPr>
                </pic:pic>
              </a:graphicData>
            </a:graphic>
          </wp:inline>
        </w:drawing>
      </w:r>
    </w:p>
    <w:p>
      <w:pPr>
        <w:spacing w:after="240" w:line="276" w:lineRule="auto"/>
        <w:jc w:val="center"/>
      </w:pPr>
      <w:r>
        <w:rPr>
          <w:i/>
          <w:sz w:val="22"/>
        </w:rPr>
        <w:t>Рисунок 11. Форест-график отношения рисков на год возраста в четырёх когортах с индивидуальными данными (синие) и девяти опубликованных когортах (красные), с объединёнными оценками и 95 % интервалом предсказания. Серая строка пересекается с нашей когортой CGGA и показана, но не объединена.</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ru.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Рисунок 12. Метарегрессия отношения рисков для возраста в каждой когорте на её медианный возраст. Размер кружка — вес в модели случайных эффектов.</w:t>
      </w:r>
    </w:p>
    <w:p>
      <w:pPr>
        <w:pStyle w:val="Heading2"/>
      </w:pPr>
      <w:r>
        <w:t>3.13. Приложение plateau</w:t>
      </w:r>
    </w:p>
    <w:p>
      <w:pPr>
        <w:ind w:firstLine="567"/>
      </w:pPr>
      <w:r>
        <w:t>На рисунке 13 показан раздел «Обзор» приложения plateau. Читатель выбирает когорту и видит её кривые выживаемости по возрастным группам с доверительными полосами, таблицу с числом пациентов, смертей, медианой выживаемости и выживаемостью через 12 и 24 месяца для каждой группы, лог-ранговый p и отношение рисков для возраста в этой когорте; ниже расположен форест-график с рисунка 11. Мастер анализа платформы выдаёт для собственного файла пользователя те же результаты, что разделы 3.1–3.7 этой работы, а шаг сравнения воспроизводит рисунок 11 с добавленной когортой пользователя. На демонстрационном файле — когорте из 60 пациентов, смоделированной с известным отношением рисков 1.030, — платформа оценила 1.022 (95 % ДИ от 1.003 до 1.042), столько же даёт lifelines для того же файла. Оба инструмента на первом экране сообщают, что показывают, как жили группы в исследовательских когортах, и не предназначены для решений о ком-либо конкретном.</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ru.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Рисунок 13. Главная страница plateau. На том же сайте находятся инструменты «Обзор», «Анализ» и «Пул» и два модерируемых сообщества, на английском и русском языках.</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 Две меры внутриопухолевой гетерогенности — по экспрессии и по мутациям — были не связаны или слабо обратно связаны с возрастом, не предсказывали выживаемость и оставили оценку возраста ровно на месте. По тринадцати когортам и примерно 40 800 пациентам эффект возраста объединился в 1.028 на год с интервалом предсказания от 1.012 до 1.045, в который попадают и TCGA, и CGGA.</w:t>
      </w:r>
    </w:p>
    <w:p>
      <w:pPr>
        <w:pStyle w:val="Heading2"/>
      </w:pPr>
      <w:r>
        <w:t>4.2. Что означают результаты</w:t>
      </w:r>
    </w:p>
    <w:p>
      <w:pPr>
        <w:ind w:firstLine="567"/>
      </w:pPr>
      <w:r>
        <w:t>В результате стоит обсудить три вещи.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Метаанализ закрывает этот вопрос настолько, насколько его вообще можно закрыть. С ещё одиннадцатью когортами на графике CGGA перестаёт быть белой вороной. Она стоит на нижнем краю распределения, в котором есть и копенгагенская серия с 1.017, и исследование Огайо с 1.018, и норвежский регистр с 1.020 — всё это скорректированные оценки из систем лечения, очень непохожих на пекинскую. Две когорты могут разойтись случайно; разброс от 1.017 до 1.040 по тринадцати — это то, как выглядит реальный эффект, измеренный в разных популяциях с разными поправками. Интервал предсказания — честная сводка: новой когорте следует ожидать от 1 % до 4.5 % на год.</w:t>
      </w:r>
    </w:p>
    <w:p>
      <w:pPr>
        <w:ind w:firstLine="567"/>
      </w:pPr>
      <w:r>
        <w:t>Пятое — результат по гетерогенности, отрицательный и, как нам кажется, полезный. Гипотеза о том, что опухоли пожилых более гетерогенны и что отчасти поэтому пожилые живут меньше, правдоподобна и, насколько мы смогли найти, напрямую на этих данных не проверялась. Она не подтвердилась ни по одному пункту. Энтропия клеточных состояний была ровной по возрасту в двух когортах, измеренных на двух платформах. MATH был, если уж на то пошло, ниже у пожилых опухолей, что согласуется с известным о генетике возраста при глиобластоме: опухоли пожилых чаще несут классическую прибавку 7-й хромосомы и потерю 10-й с амплификацией EGFR — изменения, которые возникают рано в истории опухоли и потому есть у большинства её клеток, — тогда как опухоли молодых чаще несут изменения IDH и G-CIMP. Мы предлагаем это как трактовку, а не как результат данной работы. Ни один показатель не предсказывал выживаемость, и ни один не сдвинул оценку возраста. Вывод не в том, что гетерогенность не важна для глиобластомы; одноклеточная и мультирегиональная литература говорит обратное, прежде всего об устойчивости к лечению и рецидиве. Вывод уже: что бы гетерогенность ни делала, она делает это не через возраст, и объёмный снимок на момент диагноза не несёт прогностического сигнала, который пережил бы поправку на возраст. Любая работа, которая объявляет показатель гетерогенности прогностическим по объёмным данным, должна показать, что он добавляет что-то к возрасту, и эта работа даёт планку, которую нужно преодолеть.</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[24],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[25],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[28].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[29].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[32]. Единственная найденная нами опубликованная непрерывная оценка возраста по CGGA — 1.019 на год в более ранней регистровой когорте [53] — совпадает с нашей, так что меньший эффект, по-видимому, свойство популяции CGGA, а не нашего отбора когорты. Наша объединённая оценка 1.028 на год согласуется с крупнейшими одиночными оценками в литературе — 1.030 в исследовании RTOG 0525 [44] и 1.037 в SEER [48], — а результат по MATH согласуется с первоначальным описанием показателя, где он оказался прогностическим при раке головы и шеи, но без претензии на универсальность для всех типов опухолей [19].</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Мы применили это правило к гетерогенности, и она его не прошла.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 а метаанализ добавляет диапазон, в который такой перенос можно ожидать. Платформа превращает этот диапазон в то, чем может пользоваться студент с больничной серией из 40 пациентов: загрузить файл, увидеть эффект возраста в своей когорте рядом с тринадцатью другими и понять, обычный ли он.</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w:t>
      </w:r>
    </w:p>
    <w:p>
      <w:pPr>
        <w:pStyle w:val="ListParagraph"/>
        <w:spacing w:after="80"/>
        <w:ind w:left="425" w:hanging="425"/>
      </w:pPr>
      <w:r>
        <w:t>8. Оба показателя гетерогенности — объёмные суррогаты. Энтропия клеточных состояний оценивает, насколько четыре состояния Нефтеля перемешаны в одном кусочке опухоли, по усреднённому профилю экспрессии; клеток она не видит, а шаг softmax, превращающий баллы состояний в доли, — модельный выбор, хотя результат — это ранжирование, которое другое преобразование изменило бы мало. В TCGA она измерена на микрочипе, в CGGA — РНК-секвенированием. MATH зависит от глубины секвенирования и чистоты образца, доступен только для TCGA и использует другой, более новый набор мутационных вызовов, чем переменная IDH. Отрицательный результат с суррогатами не исключает эффекта гетерогенности, измеренной на одноклеточном или мультирегиональном уровне.</w:t>
      </w:r>
    </w:p>
    <w:p>
      <w:pPr>
        <w:pStyle w:val="ListParagraph"/>
        <w:spacing w:after="80"/>
        <w:ind w:left="425" w:hanging="425"/>
      </w:pPr>
      <w:r>
        <w:t>9. Метаанализ смешивает оценки, скорректированные на разные переменные, с нескорректированными, а опубликованные значения взяты из статей, а не пересчитаны, поэтому наследуют выбор каждого автора. Оценка SEER доминирует в фиксированных весах и завышает I²; мы приводим анализ с ней и без неё. У двух когорт с индивидуальными данными есть собственные смещения: пациенты MSK-IMPACT должны были дожить до секвенирования, что является формой левого усечения, которую наш анализ не корректирует, а CPTAC мала и с коротким наблюдением. Чтобы это объединение можно было назвать систематическим обзором, нужен систематический поиск с двумя независимыми рецензентами; наш поиск был структурированным и с проверкой каждого числа по источнику.</w:t>
      </w:r>
    </w:p>
    <w:p>
      <w:pPr>
        <w:pStyle w:val="ListParagraph"/>
        <w:spacing w:after="80"/>
        <w:ind w:left="425" w:hanging="425"/>
      </w:pPr>
      <w:r>
        <w:t>10. Платформа проверена сверкой с lifelines и автоматическими браузерными тестами, но пока не пользователями. Исследование удобства, описанное в разделе 6, ещё предстоит, а пул общих сводок на момент написания содержит только референсные когорты.</w:t>
      </w:r>
    </w:p>
    <w:p>
      <w:pPr>
        <w:pStyle w:val="ListParagraph"/>
        <w:spacing w:after="80"/>
        <w:ind w:left="425" w:hanging="425"/>
      </w:pPr>
      <w:r>
        <w:t>11. Исследование обсервационное во всех когортах, поэтому ни одна из найденных связей не доказывает, что возраст вызывает более короткую выживаемость. Обзор и платформа наследуют все ограничения стоящих за ними данных и остаются исследовательскими и учебными, а не клиническими инструментами.</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Внутриопухолевая гетерогенность, оценённая как энтропия клеточных состояний в 437 опухолях TCGA и 218 опухолях CGGA и как MATH в 375 опухолях TCGA, не была выше у пожилых пациентов (ρ = 0.04, 0.07 и −0.18), не предсказывала выживаемость и не меняла оценку возраста (1.032 с энтропией, 1.037 с MATH). Дополнительная гипотеза отвергнута.</w:t>
      </w:r>
    </w:p>
    <w:p>
      <w:pPr>
        <w:pStyle w:val="ListParagraph"/>
        <w:spacing w:after="80"/>
        <w:ind w:left="425" w:hanging="425"/>
      </w:pPr>
      <w:r>
        <w:t>8. По тринадцати когортам и примерно 40 800 пациентам эффект возраста объединился в ОР 1.028 на год (95 % ДИ от 1.024 до 1.033) с 95 % интервалом предсказания от 1.012 до 1.045. Все когорты указывали в одну сторону, медианный возраст когорты её оценку не объяснял, а значение CGGA лежит внутри ожидаемого диапазона.</w:t>
      </w:r>
    </w:p>
    <w:p>
      <w:pPr>
        <w:pStyle w:val="ListParagraph"/>
        <w:spacing w:after="80"/>
        <w:ind w:left="425" w:hanging="425"/>
      </w:pPr>
      <w:r>
        <w:t>9. Код анализа, четыре гармонизированные когорты, открытый обзор когорт и браузерная платформа, в которой исследователи могут проанализировать и сравнить собственную когорту без загрузки данных пациентов, опубликованы открыто; статистика платформы сверена с lifelines 51 автоматическим тестом.</w:t>
      </w:r>
    </w:p>
    <w:p>
      <w:pPr>
        <w:pStyle w:val="Heading2"/>
      </w:pPr>
      <w:r>
        <w:t>Перспективы дальнейшей работы</w:t>
      </w:r>
    </w:p>
    <w:p>
      <w:pPr>
        <w:ind w:firstLine="567"/>
      </w:pPr>
      <w:r>
        <w:t>Вопрос о гетерогенности заслуживает второй попытки с лучшими инструментами. Методы деконволюции, которые оценивают доли клеточных состояний по объёмной экспрессии с опорой на одноклеточные референсы, заменили бы наши доли softmax настоящими оценками, а опухоли CGGA, для которых есть и РНК-секвенирование, и полноэкзомные данные, позволили бы повторить MATH. У анализа возраста есть три естественных продолжения. Коэффициент для возраста, который меняется во времени непрерывно, заменил бы фиксированный разрез на 12 месяцах. Модель с левым усечением дала бы для MSK-IMPACT несмещённую оценку. И метаанализ должен расти: платформа устроена так, что каждая когорта, которой пользователь решит поделиться, добавляет строку к рисунку 11, и первые внешние когорты покажут, выдерживает ли интервал предсказания проверку. Самой платформе нужно исследование удобства с пятью-восемью студентами: каждому дать демонстрационный файл и попросить дойти до шага сравнения, измеряя время и ошибки и собирая оценку по шкале System Usability Scale; это исследование запланировано как следующий шаг проекта. Пространство для пациентов и их семей, отделённое от исследовательской платформы и модерируемое врачом, запланировано после того, как исследовательская часть станет стабильной.</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86"/>
        <w:gridCol w:w="1784"/>
        <w:gridCol w:w="967"/>
        <w:gridCol w:w="1435"/>
        <w:gridCol w:w="1435"/>
        <w:gridCol w:w="1560"/>
      </w:tblGrid>
      <w:tr>
        <w:trPr>
          <w:cantSplit w:val="true"/>
          <w:tblHeader w:val="true"/>
        </w:trPr>
        <w:tc>
          <w:tcPr>
            <w:tcW w:type="dxa" w:w="1887"/>
            <w:shd w:val="clear" w:fill="E7EEF6"/>
          </w:tcPr>
          <w:p>
            <w:pPr>
              <w:keepNext/>
              <w:spacing w:after="0" w:line="240" w:lineRule="auto"/>
              <w:ind w:firstLine="0"/>
              <w:jc w:val="left"/>
            </w:pPr>
            <w:r/>
            <w:r>
              <w:rPr>
                <w:b/>
                <w:sz w:val="20"/>
              </w:rPr>
              <w:t>Модель (n, смертей)</w:t>
            </w:r>
          </w:p>
        </w:tc>
        <w:tc>
          <w:tcPr>
            <w:tcW w:type="dxa" w:w="1785"/>
            <w:shd w:val="clear" w:fill="E7EEF6"/>
          </w:tcPr>
          <w:p>
            <w:pPr>
              <w:keepNext/>
              <w:spacing w:after="0" w:line="240" w:lineRule="auto"/>
              <w:ind w:firstLine="0"/>
              <w:jc w:val="left"/>
            </w:pPr>
            <w:r/>
            <w:r>
              <w:rPr>
                <w:b/>
                <w:sz w:val="20"/>
              </w:rPr>
              <w:t>Переменная</w:t>
            </w:r>
          </w:p>
        </w:tc>
        <w:tc>
          <w:tcPr>
            <w:tcW w:type="dxa" w:w="968"/>
            <w:shd w:val="clear" w:fill="E7EEF6"/>
          </w:tcPr>
          <w:p>
            <w:pPr>
              <w:keepNext/>
              <w:spacing w:after="0" w:line="240" w:lineRule="auto"/>
              <w:ind w:firstLine="0"/>
              <w:jc w:val="left"/>
            </w:pPr>
            <w:r/>
            <w:r>
              <w:rPr>
                <w:b/>
                <w:sz w:val="20"/>
              </w:rPr>
              <w:t>ОР</w:t>
            </w:r>
          </w:p>
        </w:tc>
        <w:tc>
          <w:tcPr>
            <w:tcW w:type="dxa" w:w="1436"/>
            <w:shd w:val="clear" w:fill="E7EEF6"/>
          </w:tcPr>
          <w:p>
            <w:pPr>
              <w:keepNext/>
              <w:spacing w:after="0" w:line="240" w:lineRule="auto"/>
              <w:ind w:firstLine="0"/>
              <w:jc w:val="left"/>
            </w:pPr>
            <w:r/>
            <w:r>
              <w:rPr>
                <w:b/>
                <w:sz w:val="20"/>
              </w:rPr>
              <w:t>95 % ДИ</w:t>
            </w:r>
          </w:p>
        </w:tc>
        <w:tc>
          <w:tcPr>
            <w:tcW w:type="dxa" w:w="1436"/>
            <w:shd w:val="clear" w:fill="E7EEF6"/>
          </w:tcPr>
          <w:p>
            <w:pPr>
              <w:keepNext/>
              <w:spacing w:after="0" w:line="240" w:lineRule="auto"/>
              <w:ind w:firstLine="0"/>
              <w:jc w:val="left"/>
            </w:pPr>
            <w:r/>
            <w:r>
              <w:rPr>
                <w:b/>
                <w:sz w:val="20"/>
              </w:rPr>
              <w:t>p</w:t>
            </w:r>
          </w:p>
        </w:tc>
        <w:tc>
          <w:tcPr>
            <w:tcW w:type="dxa" w:w="1561"/>
            <w:shd w:val="clear" w:fill="E7EEF6"/>
          </w:tcPr>
          <w:p>
            <w:pPr>
              <w:keepNext/>
              <w:spacing w:after="0" w:line="240" w:lineRule="auto"/>
              <w:ind w:firstLine="0"/>
              <w:jc w:val="left"/>
            </w:pPr>
            <w:r/>
            <w:r>
              <w:rPr>
                <w:b/>
                <w:sz w:val="20"/>
              </w:rPr>
              <w:t>p критерия PH</w:t>
            </w:r>
          </w:p>
        </w:tc>
      </w:tr>
      <w:tr>
        <w:trPr>
          <w:cantSplit w:val="true"/>
        </w:trPr>
        <w:tc>
          <w:tcPr>
            <w:tcW w:type="dxa" w:w="1887"/>
          </w:tcPr>
          <w:p>
            <w:pPr>
              <w:keepNext/>
              <w:spacing w:after="0" w:line="240" w:lineRule="auto"/>
              <w:ind w:firstLine="0"/>
              <w:jc w:val="left"/>
            </w:pPr>
            <w:r/>
            <w:r>
              <w:rPr>
                <w:sz w:val="20"/>
              </w:rPr>
              <w:t>M1 (593, 492)</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1.034</w:t>
            </w:r>
          </w:p>
        </w:tc>
        <w:tc>
          <w:tcPr>
            <w:tcW w:type="dxa" w:w="1436"/>
          </w:tcPr>
          <w:p>
            <w:pPr>
              <w:keepNext/>
              <w:spacing w:after="0" w:line="240" w:lineRule="auto"/>
              <w:ind w:firstLine="0"/>
              <w:jc w:val="left"/>
            </w:pPr>
            <w:r/>
            <w:r>
              <w:rPr>
                <w:sz w:val="20"/>
              </w:rPr>
              <w:t>1.027–1.042</w:t>
            </w:r>
          </w:p>
        </w:tc>
        <w:tc>
          <w:tcPr>
            <w:tcW w:type="dxa" w:w="1436"/>
          </w:tcPr>
          <w:p>
            <w:pPr>
              <w:keepNext/>
              <w:spacing w:after="0" w:line="240" w:lineRule="auto"/>
              <w:ind w:firstLine="0"/>
              <w:jc w:val="left"/>
            </w:pPr>
            <w:r/>
            <w:r>
              <w:rPr>
                <w:sz w:val="20"/>
              </w:rPr>
              <w:t>4.4 × 10⁻²¹</w:t>
            </w:r>
          </w:p>
        </w:tc>
        <w:tc>
          <w:tcPr>
            <w:tcW w:type="dxa" w:w="1561"/>
          </w:tcPr>
          <w:p>
            <w:pPr>
              <w:keepNext/>
              <w:spacing w:after="0" w:line="240" w:lineRule="auto"/>
              <w:ind w:firstLine="0"/>
              <w:jc w:val="left"/>
            </w:pPr>
            <w:r/>
            <w:r>
              <w:rPr>
                <w:sz w:val="20"/>
              </w:rPr>
              <w:t>1.5 × 10⁻⁵</w:t>
            </w:r>
          </w:p>
        </w:tc>
      </w:tr>
      <w:tr>
        <w:trPr>
          <w:cantSplit w:val="true"/>
        </w:trPr>
        <w:tc>
          <w:tcPr>
            <w:tcW w:type="dxa" w:w="1887"/>
          </w:tcPr>
          <w:p>
            <w:pPr>
              <w:keepNext/>
              <w:spacing w:after="0" w:line="240" w:lineRule="auto"/>
              <w:ind w:firstLine="0"/>
              <w:jc w:val="left"/>
            </w:pPr>
            <w:r/>
            <w:r>
              <w:rPr>
                <w:sz w:val="20"/>
              </w:rPr>
              <w:t>M2 (439, 359)</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1.028</w:t>
            </w:r>
          </w:p>
        </w:tc>
        <w:tc>
          <w:tcPr>
            <w:tcW w:type="dxa" w:w="1436"/>
          </w:tcPr>
          <w:p>
            <w:pPr>
              <w:keepNext/>
              <w:spacing w:after="0" w:line="240" w:lineRule="auto"/>
              <w:ind w:firstLine="0"/>
              <w:jc w:val="left"/>
            </w:pPr>
            <w:r/>
            <w:r>
              <w:rPr>
                <w:sz w:val="20"/>
              </w:rPr>
              <w:t>1.019–1.037</w:t>
            </w:r>
          </w:p>
        </w:tc>
        <w:tc>
          <w:tcPr>
            <w:tcW w:type="dxa" w:w="1436"/>
          </w:tcPr>
          <w:p>
            <w:pPr>
              <w:keepNext/>
              <w:spacing w:after="0" w:line="240" w:lineRule="auto"/>
              <w:ind w:firstLine="0"/>
              <w:jc w:val="left"/>
            </w:pPr>
            <w:r/>
            <w:r>
              <w:rPr>
                <w:sz w:val="20"/>
              </w:rPr>
              <w:t>2.3 × 10⁻¹⁰</w:t>
            </w:r>
          </w:p>
        </w:tc>
        <w:tc>
          <w:tcPr>
            <w:tcW w:type="dxa" w:w="1561"/>
          </w:tcPr>
          <w:p>
            <w:pPr>
              <w:keepNext/>
              <w:spacing w:after="0" w:line="240" w:lineRule="auto"/>
              <w:ind w:firstLine="0"/>
              <w:jc w:val="left"/>
            </w:pPr>
            <w:r/>
            <w:r>
              <w:rPr>
                <w:sz w:val="20"/>
              </w:rPr>
              <w:t>0.011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1.330</w:t>
            </w:r>
          </w:p>
        </w:tc>
        <w:tc>
          <w:tcPr>
            <w:tcW w:type="dxa" w:w="1436"/>
          </w:tcPr>
          <w:p>
            <w:pPr>
              <w:keepNext/>
              <w:spacing w:after="0" w:line="240" w:lineRule="auto"/>
              <w:ind w:firstLine="0"/>
              <w:jc w:val="left"/>
            </w:pPr>
            <w:r/>
            <w:r>
              <w:rPr>
                <w:sz w:val="20"/>
              </w:rPr>
              <w:t>1.067–1.658</w:t>
            </w:r>
          </w:p>
        </w:tc>
        <w:tc>
          <w:tcPr>
            <w:tcW w:type="dxa" w:w="1436"/>
          </w:tcPr>
          <w:p>
            <w:pPr>
              <w:keepNext/>
              <w:spacing w:after="0" w:line="240" w:lineRule="auto"/>
              <w:ind w:firstLine="0"/>
              <w:jc w:val="left"/>
            </w:pPr>
            <w:r/>
            <w:r>
              <w:rPr>
                <w:sz w:val="20"/>
              </w:rPr>
              <w:t>0.011</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0.808</w:t>
            </w:r>
          </w:p>
        </w:tc>
        <w:tc>
          <w:tcPr>
            <w:tcW w:type="dxa" w:w="1436"/>
          </w:tcPr>
          <w:p>
            <w:pPr>
              <w:keepNext/>
              <w:spacing w:after="0" w:line="240" w:lineRule="auto"/>
              <w:ind w:firstLine="0"/>
              <w:jc w:val="left"/>
            </w:pPr>
            <w:r/>
            <w:r>
              <w:rPr>
                <w:sz w:val="20"/>
              </w:rPr>
              <w:t>0.749–0.872</w:t>
            </w:r>
          </w:p>
        </w:tc>
        <w:tc>
          <w:tcPr>
            <w:tcW w:type="dxa" w:w="1436"/>
          </w:tcPr>
          <w:p>
            <w:pPr>
              <w:keepNext/>
              <w:spacing w:after="0" w:line="240" w:lineRule="auto"/>
              <w:ind w:firstLine="0"/>
              <w:jc w:val="left"/>
            </w:pPr>
            <w:r/>
            <w:r>
              <w:rPr>
                <w:sz w:val="20"/>
              </w:rPr>
              <w:t>&lt; 0.0001</w:t>
            </w:r>
          </w:p>
        </w:tc>
        <w:tc>
          <w:tcPr>
            <w:tcW w:type="dxa" w:w="1561"/>
          </w:tcPr>
          <w:p>
            <w:pPr>
              <w:keepNext/>
              <w:spacing w:after="0" w:line="240" w:lineRule="auto"/>
              <w:ind w:firstLine="0"/>
              <w:jc w:val="left"/>
            </w:pPr>
            <w:r/>
            <w:r>
              <w:rPr>
                <w:sz w:val="20"/>
              </w:rPr>
              <w:t>0.22</w:t>
            </w:r>
          </w:p>
        </w:tc>
      </w:tr>
      <w:tr>
        <w:trPr>
          <w:cantSplit w:val="true"/>
        </w:trPr>
        <w:tc>
          <w:tcPr>
            <w:tcW w:type="dxa" w:w="1887"/>
          </w:tcPr>
          <w:p>
            <w:pPr>
              <w:keepNext/>
              <w:spacing w:after="0" w:line="240" w:lineRule="auto"/>
              <w:ind w:firstLine="0"/>
              <w:jc w:val="left"/>
            </w:pPr>
            <w:r/>
            <w:r>
              <w:rPr>
                <w:sz w:val="20"/>
              </w:rPr>
              <w:t>M3 (413, 316)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1.036</w:t>
            </w:r>
          </w:p>
        </w:tc>
        <w:tc>
          <w:tcPr>
            <w:tcW w:type="dxa" w:w="1436"/>
          </w:tcPr>
          <w:p>
            <w:pPr>
              <w:keepNext/>
              <w:spacing w:after="0" w:line="240" w:lineRule="auto"/>
              <w:ind w:firstLine="0"/>
              <w:jc w:val="left"/>
            </w:pPr>
            <w:r/>
            <w:r>
              <w:rPr>
                <w:sz w:val="20"/>
              </w:rPr>
              <w:t>1.027–1.046</w:t>
            </w:r>
          </w:p>
        </w:tc>
        <w:tc>
          <w:tcPr>
            <w:tcW w:type="dxa" w:w="1436"/>
          </w:tcPr>
          <w:p>
            <w:pPr>
              <w:keepNext/>
              <w:spacing w:after="0" w:line="240" w:lineRule="auto"/>
              <w:ind w:firstLine="0"/>
              <w:jc w:val="left"/>
            </w:pPr>
            <w:r/>
            <w:r>
              <w:rPr>
                <w:sz w:val="20"/>
              </w:rPr>
              <w:t>2.0 × 10⁻¹⁵</w:t>
            </w:r>
          </w:p>
        </w:tc>
        <w:tc>
          <w:tcPr>
            <w:tcW w:type="dxa" w:w="1561"/>
          </w:tcPr>
          <w:p>
            <w:pPr>
              <w:keepNext/>
              <w:spacing w:after="0" w:line="240" w:lineRule="auto"/>
              <w:ind w:firstLine="0"/>
              <w:jc w:val="left"/>
            </w:pPr>
            <w:r/>
            <w:r>
              <w:rPr>
                <w:sz w:val="20"/>
              </w:rPr>
              <w:t>0.0007</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MGMT метилирован</w:t>
            </w:r>
          </w:p>
        </w:tc>
        <w:tc>
          <w:tcPr>
            <w:tcW w:type="dxa" w:w="968"/>
          </w:tcPr>
          <w:p>
            <w:pPr>
              <w:keepNext/>
              <w:spacing w:after="0" w:line="240" w:lineRule="auto"/>
              <w:ind w:firstLine="0"/>
              <w:jc w:val="left"/>
            </w:pPr>
            <w:r/>
            <w:r>
              <w:rPr>
                <w:sz w:val="20"/>
              </w:rPr>
              <w:t>0.786</w:t>
            </w:r>
          </w:p>
        </w:tc>
        <w:tc>
          <w:tcPr>
            <w:tcW w:type="dxa" w:w="1436"/>
          </w:tcPr>
          <w:p>
            <w:pPr>
              <w:keepNext/>
              <w:spacing w:after="0" w:line="240" w:lineRule="auto"/>
              <w:ind w:firstLine="0"/>
              <w:jc w:val="left"/>
            </w:pPr>
            <w:r/>
            <w:r>
              <w:rPr>
                <w:sz w:val="20"/>
              </w:rPr>
              <w:t>0.623–0.992</w:t>
            </w:r>
          </w:p>
        </w:tc>
        <w:tc>
          <w:tcPr>
            <w:tcW w:type="dxa" w:w="1436"/>
          </w:tcPr>
          <w:p>
            <w:pPr>
              <w:keepNext/>
              <w:spacing w:after="0" w:line="240" w:lineRule="auto"/>
              <w:ind w:firstLine="0"/>
              <w:jc w:val="left"/>
            </w:pPr>
            <w:r/>
            <w:r>
              <w:rPr>
                <w:sz w:val="20"/>
              </w:rPr>
              <w:t>0.043</w:t>
            </w:r>
          </w:p>
        </w:tc>
        <w:tc>
          <w:tcPr>
            <w:tcW w:type="dxa" w:w="1561"/>
          </w:tcPr>
          <w:p>
            <w:pPr>
              <w:keepNext/>
              <w:spacing w:after="0" w:line="240" w:lineRule="auto"/>
              <w:ind w:firstLine="0"/>
              <w:jc w:val="left"/>
            </w:pPr>
            <w:r/>
            <w:r>
              <w:rPr>
                <w:sz w:val="20"/>
              </w:rPr>
              <w:t>0.50</w:t>
            </w:r>
          </w:p>
        </w:tc>
      </w:tr>
      <w:tr>
        <w:trPr>
          <w:cantSplit w:val="true"/>
        </w:trPr>
        <w:tc>
          <w:tcPr>
            <w:tcW w:type="dxa" w:w="1887"/>
          </w:tcPr>
          <w:p>
            <w:pPr>
              <w:keepNext/>
              <w:spacing w:after="0" w:line="240" w:lineRule="auto"/>
              <w:ind w:firstLine="0"/>
              <w:jc w:val="left"/>
            </w:pPr>
            <w:r/>
            <w:r>
              <w:rPr>
                <w:sz w:val="20"/>
              </w:rPr>
              <w:t>M4 (285, 226)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1.027</w:t>
            </w:r>
          </w:p>
        </w:tc>
        <w:tc>
          <w:tcPr>
            <w:tcW w:type="dxa" w:w="1436"/>
          </w:tcPr>
          <w:p>
            <w:pPr>
              <w:keepNext/>
              <w:spacing w:after="0" w:line="240" w:lineRule="auto"/>
              <w:ind w:firstLine="0"/>
              <w:jc w:val="left"/>
            </w:pPr>
            <w:r/>
            <w:r>
              <w:rPr>
                <w:sz w:val="20"/>
              </w:rPr>
              <w:t>1.015–1.040</w:t>
            </w:r>
          </w:p>
        </w:tc>
        <w:tc>
          <w:tcPr>
            <w:tcW w:type="dxa" w:w="1436"/>
          </w:tcPr>
          <w:p>
            <w:pPr>
              <w:keepNext/>
              <w:spacing w:after="0" w:line="240" w:lineRule="auto"/>
              <w:ind w:firstLine="0"/>
              <w:jc w:val="left"/>
            </w:pPr>
            <w:r/>
            <w:r>
              <w:rPr>
                <w:sz w:val="20"/>
              </w:rPr>
              <w:t>1.5 × 10⁻⁵</w:t>
            </w:r>
          </w:p>
        </w:tc>
        <w:tc>
          <w:tcPr>
            <w:tcW w:type="dxa" w:w="1561"/>
          </w:tcPr>
          <w:p>
            <w:pPr>
              <w:keepNext/>
              <w:spacing w:after="0" w:line="240" w:lineRule="auto"/>
              <w:ind w:firstLine="0"/>
              <w:jc w:val="left"/>
            </w:pPr>
            <w:r/>
            <w:r>
              <w:rPr>
                <w:sz w:val="20"/>
              </w:rPr>
              <w:t>0.0076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0.518</w:t>
            </w:r>
          </w:p>
        </w:tc>
        <w:tc>
          <w:tcPr>
            <w:tcW w:type="dxa" w:w="1436"/>
          </w:tcPr>
          <w:p>
            <w:pPr>
              <w:keepNext/>
              <w:spacing w:after="0" w:line="240" w:lineRule="auto"/>
              <w:ind w:firstLine="0"/>
              <w:jc w:val="left"/>
            </w:pPr>
            <w:r/>
            <w:r>
              <w:rPr>
                <w:sz w:val="20"/>
              </w:rPr>
              <w:t>0.221–1.216</w:t>
            </w:r>
          </w:p>
        </w:tc>
        <w:tc>
          <w:tcPr>
            <w:tcW w:type="dxa" w:w="1436"/>
          </w:tcPr>
          <w:p>
            <w:pPr>
              <w:keepNext/>
              <w:spacing w:after="0" w:line="240" w:lineRule="auto"/>
              <w:ind w:firstLine="0"/>
              <w:jc w:val="left"/>
            </w:pPr>
            <w:r/>
            <w:r>
              <w:rPr>
                <w:sz w:val="20"/>
              </w:rPr>
              <w:t>0.13</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t>M5 (174, 127)</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1.032</w:t>
            </w:r>
          </w:p>
        </w:tc>
        <w:tc>
          <w:tcPr>
            <w:tcW w:type="dxa" w:w="1436"/>
          </w:tcPr>
          <w:p>
            <w:pPr>
              <w:keepNext/>
              <w:spacing w:after="0" w:line="240" w:lineRule="auto"/>
              <w:ind w:firstLine="0"/>
              <w:jc w:val="left"/>
            </w:pPr>
            <w:r/>
            <w:r>
              <w:rPr>
                <w:sz w:val="20"/>
              </w:rPr>
              <w:t>1.014–1.051</w:t>
            </w:r>
          </w:p>
        </w:tc>
        <w:tc>
          <w:tcPr>
            <w:tcW w:type="dxa" w:w="1436"/>
          </w:tcPr>
          <w:p>
            <w:pPr>
              <w:keepNext/>
              <w:spacing w:after="0" w:line="240" w:lineRule="auto"/>
              <w:ind w:firstLine="0"/>
              <w:jc w:val="left"/>
            </w:pPr>
            <w:r/>
            <w:r>
              <w:rPr>
                <w:sz w:val="20"/>
              </w:rPr>
              <w:t>4.3 × 10⁻⁴</w:t>
            </w:r>
          </w:p>
        </w:tc>
        <w:tc>
          <w:tcPr>
            <w:tcW w:type="dxa" w:w="1561"/>
          </w:tcPr>
          <w:p>
            <w:pPr>
              <w:keepNext/>
              <w:spacing w:after="0" w:line="240" w:lineRule="auto"/>
              <w:ind w:firstLine="0"/>
              <w:jc w:val="left"/>
            </w:pPr>
            <w:r/>
            <w:r>
              <w:rPr>
                <w:sz w:val="20"/>
              </w:rPr>
              <w:t>0.0035</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1.868</w:t>
            </w:r>
          </w:p>
        </w:tc>
        <w:tc>
          <w:tcPr>
            <w:tcW w:type="dxa" w:w="1436"/>
          </w:tcPr>
          <w:p>
            <w:pPr>
              <w:keepNext/>
              <w:spacing w:after="0" w:line="240" w:lineRule="auto"/>
              <w:ind w:firstLine="0"/>
              <w:jc w:val="left"/>
            </w:pPr>
            <w:r/>
            <w:r>
              <w:rPr>
                <w:sz w:val="20"/>
              </w:rPr>
              <w:t>1.265–2.758</w:t>
            </w:r>
          </w:p>
        </w:tc>
        <w:tc>
          <w:tcPr>
            <w:tcW w:type="dxa" w:w="1436"/>
          </w:tcPr>
          <w:p>
            <w:pPr>
              <w:keepNext/>
              <w:spacing w:after="0" w:line="240" w:lineRule="auto"/>
              <w:ind w:firstLine="0"/>
              <w:jc w:val="left"/>
            </w:pPr>
            <w:r/>
            <w:r>
              <w:rPr>
                <w:sz w:val="20"/>
              </w:rPr>
              <w:t>0.0017</w:t>
            </w:r>
          </w:p>
        </w:tc>
        <w:tc>
          <w:tcPr>
            <w:tcW w:type="dxa" w:w="1561"/>
          </w:tcPr>
          <w:p>
            <w:pPr>
              <w:keepNext/>
              <w:spacing w:after="0" w:line="240" w:lineRule="auto"/>
              <w:ind w:firstLine="0"/>
              <w:jc w:val="left"/>
            </w:pPr>
            <w:r/>
            <w:r>
              <w:rPr>
                <w:sz w:val="20"/>
              </w:rPr>
              <w:t>0.14</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0.850</w:t>
            </w:r>
          </w:p>
        </w:tc>
        <w:tc>
          <w:tcPr>
            <w:tcW w:type="dxa" w:w="1436"/>
          </w:tcPr>
          <w:p>
            <w:pPr>
              <w:keepNext/>
              <w:spacing w:after="0" w:line="240" w:lineRule="auto"/>
              <w:ind w:firstLine="0"/>
              <w:jc w:val="left"/>
            </w:pPr>
            <w:r/>
            <w:r>
              <w:rPr>
                <w:sz w:val="20"/>
              </w:rPr>
              <w:t>0.756–0.955</w:t>
            </w:r>
          </w:p>
        </w:tc>
        <w:tc>
          <w:tcPr>
            <w:tcW w:type="dxa" w:w="1436"/>
          </w:tcPr>
          <w:p>
            <w:pPr>
              <w:keepNext/>
              <w:spacing w:after="0" w:line="240" w:lineRule="auto"/>
              <w:ind w:firstLine="0"/>
              <w:jc w:val="left"/>
            </w:pPr>
            <w:r/>
            <w:r>
              <w:rPr>
                <w:sz w:val="20"/>
              </w:rPr>
              <w:t>0.0063</w:t>
            </w:r>
          </w:p>
        </w:tc>
        <w:tc>
          <w:tcPr>
            <w:tcW w:type="dxa" w:w="1561"/>
          </w:tcPr>
          <w:p>
            <w:pPr>
              <w:keepNext/>
              <w:spacing w:after="0" w:line="240" w:lineRule="auto"/>
              <w:ind w:firstLine="0"/>
              <w:jc w:val="left"/>
            </w:pPr>
            <w:r/>
            <w:r>
              <w:rPr>
                <w:sz w:val="20"/>
              </w:rPr>
              <w:t>0.96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0.537</w:t>
            </w:r>
          </w:p>
        </w:tc>
        <w:tc>
          <w:tcPr>
            <w:tcW w:type="dxa" w:w="1436"/>
          </w:tcPr>
          <w:p>
            <w:pPr>
              <w:keepNext/>
              <w:spacing w:after="0" w:line="240" w:lineRule="auto"/>
              <w:ind w:firstLine="0"/>
              <w:jc w:val="left"/>
            </w:pPr>
            <w:r/>
            <w:r>
              <w:rPr>
                <w:sz w:val="20"/>
              </w:rPr>
              <w:t>0.182–1.580</w:t>
            </w:r>
          </w:p>
        </w:tc>
        <w:tc>
          <w:tcPr>
            <w:tcW w:type="dxa" w:w="1436"/>
          </w:tcPr>
          <w:p>
            <w:pPr>
              <w:keepNext/>
              <w:spacing w:after="0" w:line="240" w:lineRule="auto"/>
              <w:ind w:firstLine="0"/>
              <w:jc w:val="left"/>
            </w:pPr>
            <w:r/>
            <w:r>
              <w:rPr>
                <w:sz w:val="20"/>
              </w:rPr>
              <w:t>0.26</w:t>
            </w:r>
          </w:p>
        </w:tc>
        <w:tc>
          <w:tcPr>
            <w:tcW w:type="dxa" w:w="1561"/>
          </w:tcPr>
          <w:p>
            <w:pPr>
              <w:keepNext/>
              <w:spacing w:after="0" w:line="240" w:lineRule="auto"/>
              <w:ind w:firstLine="0"/>
              <w:jc w:val="left"/>
            </w:pPr>
            <w:r/>
            <w:r>
              <w:rPr>
                <w:sz w:val="20"/>
              </w:rPr>
              <w:t>0.64</w:t>
            </w:r>
          </w:p>
        </w:tc>
      </w:tr>
      <w:tr>
        <w:trPr>
          <w:cantSplit w:val="true"/>
        </w:trPr>
        <w:tc>
          <w:tcPr>
            <w:tcW w:type="dxa" w:w="1887"/>
          </w:tcPr>
          <w:p>
            <w:pPr>
              <w:spacing w:after="0" w:line="240" w:lineRule="auto"/>
              <w:ind w:firstLine="0"/>
              <w:jc w:val="left"/>
            </w:pPr>
            <w:r/>
            <w:r>
              <w:rPr>
                <w:sz w:val="20"/>
              </w:rPr>
            </w:r>
          </w:p>
        </w:tc>
        <w:tc>
          <w:tcPr>
            <w:tcW w:type="dxa" w:w="1785"/>
          </w:tcPr>
          <w:p>
            <w:pPr>
              <w:spacing w:after="0" w:line="240" w:lineRule="auto"/>
              <w:ind w:firstLine="0"/>
              <w:jc w:val="left"/>
            </w:pPr>
            <w:r/>
            <w:r>
              <w:rPr>
                <w:sz w:val="20"/>
              </w:rPr>
              <w:t>MGMT метилирован</w:t>
            </w:r>
          </w:p>
        </w:tc>
        <w:tc>
          <w:tcPr>
            <w:tcW w:type="dxa" w:w="968"/>
          </w:tcPr>
          <w:p>
            <w:pPr>
              <w:spacing w:after="0" w:line="240" w:lineRule="auto"/>
              <w:ind w:firstLine="0"/>
              <w:jc w:val="left"/>
            </w:pPr>
            <w:r/>
            <w:r>
              <w:rPr>
                <w:sz w:val="20"/>
              </w:rPr>
              <w:t>0.930</w:t>
            </w:r>
          </w:p>
        </w:tc>
        <w:tc>
          <w:tcPr>
            <w:tcW w:type="dxa" w:w="1436"/>
          </w:tcPr>
          <w:p>
            <w:pPr>
              <w:spacing w:after="0" w:line="240" w:lineRule="auto"/>
              <w:ind w:firstLine="0"/>
              <w:jc w:val="left"/>
            </w:pPr>
            <w:r/>
            <w:r>
              <w:rPr>
                <w:sz w:val="20"/>
              </w:rPr>
              <w:t>0.624–1.388</w:t>
            </w:r>
          </w:p>
        </w:tc>
        <w:tc>
          <w:tcPr>
            <w:tcW w:type="dxa" w:w="1436"/>
          </w:tcPr>
          <w:p>
            <w:pPr>
              <w:spacing w:after="0" w:line="240" w:lineRule="auto"/>
              <w:ind w:firstLine="0"/>
              <w:jc w:val="left"/>
            </w:pPr>
            <w:r/>
            <w:r>
              <w:rPr>
                <w:sz w:val="20"/>
              </w:rPr>
              <w:t>0.72</w:t>
            </w:r>
          </w:p>
        </w:tc>
        <w:tc>
          <w:tcPr>
            <w:tcW w:type="dxa" w:w="1561"/>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46"/>
        <w:gridCol w:w="970"/>
        <w:gridCol w:w="1284"/>
        <w:gridCol w:w="2059"/>
        <w:gridCol w:w="1610"/>
      </w:tblGrid>
      <w:tr>
        <w:trPr>
          <w:cantSplit w:val="true"/>
          <w:tblHeader w:val="true"/>
        </w:trPr>
        <w:tc>
          <w:tcPr>
            <w:tcW w:type="dxa" w:w="3146"/>
            <w:shd w:val="clear" w:fill="E7EEF6"/>
          </w:tcPr>
          <w:p>
            <w:pPr>
              <w:keepNext/>
              <w:spacing w:after="0" w:line="240" w:lineRule="auto"/>
              <w:ind w:firstLine="0"/>
              <w:jc w:val="left"/>
            </w:pPr>
            <w:r/>
            <w:r>
              <w:rPr>
                <w:b/>
                <w:sz w:val="20"/>
              </w:rPr>
              <w:t>Период</w:t>
            </w:r>
          </w:p>
        </w:tc>
        <w:tc>
          <w:tcPr>
            <w:tcW w:type="dxa" w:w="971"/>
            <w:shd w:val="clear" w:fill="E7EEF6"/>
          </w:tcPr>
          <w:p>
            <w:pPr>
              <w:keepNext/>
              <w:spacing w:after="0" w:line="240" w:lineRule="auto"/>
              <w:ind w:firstLine="0"/>
              <w:jc w:val="left"/>
            </w:pPr>
            <w:r/>
            <w:r>
              <w:rPr>
                <w:b/>
                <w:sz w:val="20"/>
              </w:rPr>
              <w:t>n</w:t>
            </w:r>
          </w:p>
        </w:tc>
        <w:tc>
          <w:tcPr>
            <w:tcW w:type="dxa" w:w="1284"/>
            <w:shd w:val="clear" w:fill="E7EEF6"/>
          </w:tcPr>
          <w:p>
            <w:pPr>
              <w:keepNext/>
              <w:spacing w:after="0" w:line="240" w:lineRule="auto"/>
              <w:ind w:firstLine="0"/>
              <w:jc w:val="left"/>
            </w:pPr>
            <w:r/>
            <w:r>
              <w:rPr>
                <w:b/>
                <w:sz w:val="20"/>
              </w:rPr>
              <w:t>Смертей</w:t>
            </w:r>
          </w:p>
        </w:tc>
        <w:tc>
          <w:tcPr>
            <w:tcW w:type="dxa" w:w="2060"/>
            <w:shd w:val="clear" w:fill="E7EEF6"/>
          </w:tcPr>
          <w:p>
            <w:pPr>
              <w:keepNext/>
              <w:spacing w:after="0" w:line="240" w:lineRule="auto"/>
              <w:ind w:firstLine="0"/>
              <w:jc w:val="left"/>
            </w:pPr>
            <w:r/>
            <w:r>
              <w:rPr>
                <w:b/>
                <w:sz w:val="20"/>
              </w:rPr>
              <w:t>ОР на год возраста</w:t>
            </w:r>
          </w:p>
        </w:tc>
        <w:tc>
          <w:tcPr>
            <w:tcW w:type="dxa" w:w="1610"/>
            <w:shd w:val="clear" w:fill="E7EEF6"/>
          </w:tcPr>
          <w:p>
            <w:pPr>
              <w:keepNext/>
              <w:spacing w:after="0" w:line="240" w:lineRule="auto"/>
              <w:ind w:firstLine="0"/>
              <w:jc w:val="left"/>
            </w:pPr>
            <w:r/>
            <w:r>
              <w:rPr>
                <w:b/>
                <w:sz w:val="20"/>
              </w:rPr>
              <w:t>95 % ДИ</w:t>
            </w:r>
          </w:p>
        </w:tc>
      </w:tr>
      <w:tr>
        <w:trPr>
          <w:cantSplit w:val="true"/>
        </w:trPr>
        <w:tc>
          <w:tcPr>
            <w:tcW w:type="dxa" w:w="3146"/>
          </w:tcPr>
          <w:p>
            <w:pPr>
              <w:keepNext/>
              <w:spacing w:after="0" w:line="240" w:lineRule="auto"/>
              <w:ind w:firstLine="0"/>
              <w:jc w:val="left"/>
            </w:pPr>
            <w:r/>
            <w:r>
              <w:rPr>
                <w:sz w:val="20"/>
              </w:rPr>
              <w:t>Первые 12 мес. (наблюдение обрезано на 12)</w:t>
            </w:r>
          </w:p>
        </w:tc>
        <w:tc>
          <w:tcPr>
            <w:tcW w:type="dxa" w:w="971"/>
          </w:tcPr>
          <w:p>
            <w:pPr>
              <w:keepNext/>
              <w:spacing w:after="0" w:line="240" w:lineRule="auto"/>
              <w:ind w:firstLine="0"/>
              <w:jc w:val="left"/>
            </w:pPr>
            <w:r/>
            <w:r>
              <w:rPr>
                <w:sz w:val="20"/>
              </w:rPr>
              <w:t>593</w:t>
            </w:r>
          </w:p>
        </w:tc>
        <w:tc>
          <w:tcPr>
            <w:tcW w:type="dxa" w:w="1284"/>
          </w:tcPr>
          <w:p>
            <w:pPr>
              <w:keepNext/>
              <w:spacing w:after="0" w:line="240" w:lineRule="auto"/>
              <w:ind w:firstLine="0"/>
              <w:jc w:val="left"/>
            </w:pPr>
            <w:r/>
            <w:r>
              <w:rPr>
                <w:sz w:val="20"/>
              </w:rPr>
              <w:t>233</w:t>
            </w:r>
          </w:p>
        </w:tc>
        <w:tc>
          <w:tcPr>
            <w:tcW w:type="dxa" w:w="2060"/>
          </w:tcPr>
          <w:p>
            <w:pPr>
              <w:keepNext/>
              <w:spacing w:after="0" w:line="240" w:lineRule="auto"/>
              <w:ind w:firstLine="0"/>
              <w:jc w:val="left"/>
            </w:pPr>
            <w:r/>
            <w:r>
              <w:rPr>
                <w:sz w:val="20"/>
              </w:rPr>
              <w:t>1.047</w:t>
            </w:r>
          </w:p>
        </w:tc>
        <w:tc>
          <w:tcPr>
            <w:tcW w:type="dxa" w:w="1610"/>
          </w:tcPr>
          <w:p>
            <w:pPr>
              <w:keepNext/>
              <w:spacing w:after="0" w:line="240" w:lineRule="auto"/>
              <w:ind w:firstLine="0"/>
              <w:jc w:val="left"/>
            </w:pPr>
            <w:r/>
            <w:r>
              <w:rPr>
                <w:sz w:val="20"/>
              </w:rPr>
              <w:t>1.035–1.058</w:t>
            </w:r>
          </w:p>
        </w:tc>
      </w:tr>
      <w:tr>
        <w:trPr>
          <w:cantSplit w:val="true"/>
        </w:trPr>
        <w:tc>
          <w:tcPr>
            <w:tcW w:type="dxa" w:w="3146"/>
          </w:tcPr>
          <w:p>
            <w:pPr>
              <w:spacing w:after="0" w:line="240" w:lineRule="auto"/>
              <w:ind w:firstLine="0"/>
              <w:jc w:val="left"/>
            </w:pPr>
            <w:r/>
            <w:r>
              <w:rPr>
                <w:sz w:val="20"/>
              </w:rPr>
              <w:t>После 12 мес. (отсчёт заново с 12)</w:t>
            </w:r>
          </w:p>
        </w:tc>
        <w:tc>
          <w:tcPr>
            <w:tcW w:type="dxa" w:w="971"/>
          </w:tcPr>
          <w:p>
            <w:pPr>
              <w:spacing w:after="0" w:line="240" w:lineRule="auto"/>
              <w:ind w:firstLine="0"/>
              <w:jc w:val="left"/>
            </w:pPr>
            <w:r/>
            <w:r>
              <w:rPr>
                <w:sz w:val="20"/>
              </w:rPr>
              <w:t>298</w:t>
            </w:r>
          </w:p>
        </w:tc>
        <w:tc>
          <w:tcPr>
            <w:tcW w:type="dxa" w:w="1284"/>
          </w:tcPr>
          <w:p>
            <w:pPr>
              <w:spacing w:after="0" w:line="240" w:lineRule="auto"/>
              <w:ind w:firstLine="0"/>
              <w:jc w:val="left"/>
            </w:pPr>
            <w:r/>
            <w:r>
              <w:rPr>
                <w:sz w:val="20"/>
              </w:rPr>
              <w:t>259</w:t>
            </w:r>
          </w:p>
        </w:tc>
        <w:tc>
          <w:tcPr>
            <w:tcW w:type="dxa" w:w="2060"/>
          </w:tcPr>
          <w:p>
            <w:pPr>
              <w:spacing w:after="0" w:line="240" w:lineRule="auto"/>
              <w:ind w:firstLine="0"/>
              <w:jc w:val="left"/>
            </w:pPr>
            <w:r/>
            <w:r>
              <w:rPr>
                <w:sz w:val="20"/>
              </w:rPr>
              <w:t>1.025</w:t>
            </w:r>
          </w:p>
        </w:tc>
        <w:tc>
          <w:tcPr>
            <w:tcW w:type="dxa" w:w="1610"/>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43"/>
        <w:gridCol w:w="1783"/>
        <w:gridCol w:w="996"/>
        <w:gridCol w:w="1478"/>
        <w:gridCol w:w="1261"/>
        <w:gridCol w:w="1607"/>
      </w:tblGrid>
      <w:tr>
        <w:trPr>
          <w:cantSplit w:val="true"/>
          <w:tblHeader w:val="true"/>
        </w:trPr>
        <w:tc>
          <w:tcPr>
            <w:tcW w:type="dxa" w:w="1943"/>
            <w:shd w:val="clear" w:fill="E7EEF6"/>
          </w:tcPr>
          <w:p>
            <w:pPr>
              <w:spacing w:after="0" w:line="240" w:lineRule="auto"/>
              <w:ind w:firstLine="0"/>
              <w:jc w:val="left"/>
            </w:pPr>
            <w:r/>
            <w:r>
              <w:rPr>
                <w:b/>
                <w:sz w:val="20"/>
              </w:rPr>
              <w:t>Модель (n, смертей)</w:t>
            </w:r>
          </w:p>
        </w:tc>
        <w:tc>
          <w:tcPr>
            <w:tcW w:type="dxa" w:w="1783"/>
            <w:shd w:val="clear" w:fill="E7EEF6"/>
          </w:tcPr>
          <w:p>
            <w:pPr>
              <w:spacing w:after="0" w:line="240" w:lineRule="auto"/>
              <w:ind w:firstLine="0"/>
              <w:jc w:val="left"/>
            </w:pPr>
            <w:r/>
            <w:r>
              <w:rPr>
                <w:b/>
                <w:sz w:val="20"/>
              </w:rPr>
              <w:t>Переменная</w:t>
            </w:r>
          </w:p>
        </w:tc>
        <w:tc>
          <w:tcPr>
            <w:tcW w:type="dxa" w:w="997"/>
            <w:shd w:val="clear" w:fill="E7EEF6"/>
          </w:tcPr>
          <w:p>
            <w:pPr>
              <w:spacing w:after="0" w:line="240" w:lineRule="auto"/>
              <w:ind w:firstLine="0"/>
              <w:jc w:val="left"/>
            </w:pPr>
            <w:r/>
            <w:r>
              <w:rPr>
                <w:b/>
                <w:sz w:val="20"/>
              </w:rPr>
              <w:t>ОР</w:t>
            </w:r>
          </w:p>
        </w:tc>
        <w:tc>
          <w:tcPr>
            <w:tcW w:type="dxa" w:w="1479"/>
            <w:shd w:val="clear" w:fill="E7EEF6"/>
          </w:tcPr>
          <w:p>
            <w:pPr>
              <w:spacing w:after="0" w:line="240" w:lineRule="auto"/>
              <w:ind w:firstLine="0"/>
              <w:jc w:val="left"/>
            </w:pPr>
            <w:r/>
            <w:r>
              <w:rPr>
                <w:b/>
                <w:sz w:val="20"/>
              </w:rPr>
              <w:t>95 % ДИ</w:t>
            </w:r>
          </w:p>
        </w:tc>
        <w:tc>
          <w:tcPr>
            <w:tcW w:type="dxa" w:w="1261"/>
            <w:shd w:val="clear" w:fill="E7EEF6"/>
          </w:tcPr>
          <w:p>
            <w:pPr>
              <w:spacing w:after="0" w:line="240" w:lineRule="auto"/>
              <w:ind w:firstLine="0"/>
              <w:jc w:val="left"/>
            </w:pPr>
            <w:r/>
            <w:r>
              <w:rPr>
                <w:b/>
                <w:sz w:val="20"/>
              </w:rPr>
              <w:t>p</w:t>
            </w:r>
          </w:p>
        </w:tc>
        <w:tc>
          <w:tcPr>
            <w:tcW w:type="dxa" w:w="1607"/>
            <w:shd w:val="clear" w:fill="E7EEF6"/>
          </w:tcPr>
          <w:p>
            <w:pPr>
              <w:spacing w:after="0" w:line="240" w:lineRule="auto"/>
              <w:ind w:firstLine="0"/>
              <w:jc w:val="left"/>
            </w:pPr>
            <w:r/>
            <w:r>
              <w:rPr>
                <w:b/>
                <w:sz w:val="20"/>
              </w:rPr>
              <w:t>p критерия PH</w:t>
            </w:r>
          </w:p>
        </w:tc>
      </w:tr>
      <w:tr>
        <w:trPr>
          <w:cantSplit w:val="true"/>
        </w:trPr>
        <w:tc>
          <w:tcPr>
            <w:tcW w:type="dxa" w:w="1943"/>
          </w:tcPr>
          <w:p>
            <w:pPr>
              <w:spacing w:after="0" w:line="240" w:lineRule="auto"/>
              <w:ind w:firstLine="0"/>
              <w:jc w:val="left"/>
            </w:pPr>
            <w:r/>
            <w:r>
              <w:rPr>
                <w:sz w:val="20"/>
              </w:rPr>
              <w:t>M1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607"/>
          </w:tcPr>
          <w:p>
            <w:pPr>
              <w:spacing w:after="0" w:line="240" w:lineRule="auto"/>
              <w:ind w:firstLine="0"/>
              <w:jc w:val="left"/>
            </w:pPr>
            <w:r/>
            <w:r>
              <w:rPr>
                <w:sz w:val="20"/>
              </w:rPr>
              <w:t>0.27</w:t>
            </w:r>
          </w:p>
        </w:tc>
      </w:tr>
      <w:tr>
        <w:trPr>
          <w:cantSplit w:val="true"/>
        </w:trPr>
        <w:tc>
          <w:tcPr>
            <w:tcW w:type="dxa" w:w="1943"/>
          </w:tcPr>
          <w:p>
            <w:pPr>
              <w:spacing w:after="0" w:line="240" w:lineRule="auto"/>
              <w:ind w:firstLine="0"/>
              <w:jc w:val="left"/>
            </w:pPr>
            <w:r/>
            <w:r>
              <w:rPr>
                <w:sz w:val="20"/>
              </w:rPr>
              <w:t>M2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607"/>
          </w:tcPr>
          <w:p>
            <w:pPr>
              <w:spacing w:after="0" w:line="240" w:lineRule="auto"/>
              <w:ind w:firstLine="0"/>
              <w:jc w:val="left"/>
            </w:pPr>
            <w:r/>
            <w:r>
              <w:rPr>
                <w:sz w:val="20"/>
              </w:rPr>
              <w:t>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1.088</w:t>
            </w:r>
          </w:p>
        </w:tc>
        <w:tc>
          <w:tcPr>
            <w:tcW w:type="dxa" w:w="1479"/>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607"/>
          </w:tcPr>
          <w:p>
            <w:pPr>
              <w:spacing w:after="0" w:line="240" w:lineRule="auto"/>
              <w:ind w:firstLine="0"/>
              <w:jc w:val="left"/>
            </w:pPr>
            <w:r/>
            <w:r>
              <w:rPr>
                <w:sz w:val="20"/>
              </w:rPr>
              <w:t>0.28</w:t>
            </w:r>
          </w:p>
        </w:tc>
      </w:tr>
      <w:tr>
        <w:trPr>
          <w:cantSplit w:val="true"/>
        </w:trPr>
        <w:tc>
          <w:tcPr>
            <w:tcW w:type="dxa" w:w="1943"/>
          </w:tcPr>
          <w:p>
            <w:pPr>
              <w:spacing w:after="0" w:line="240" w:lineRule="auto"/>
              <w:ind w:firstLine="0"/>
              <w:jc w:val="left"/>
            </w:pPr>
            <w:r/>
            <w:r>
              <w:rPr>
                <w:sz w:val="20"/>
              </w:rPr>
              <w:t>M2t (210, 175)</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1.022</w:t>
            </w:r>
          </w:p>
        </w:tc>
        <w:tc>
          <w:tcPr>
            <w:tcW w:type="dxa" w:w="1479"/>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607"/>
          </w:tcPr>
          <w:p>
            <w:pPr>
              <w:spacing w:after="0" w:line="240" w:lineRule="auto"/>
              <w:ind w:firstLine="0"/>
              <w:jc w:val="left"/>
            </w:pPr>
            <w:r/>
            <w:r>
              <w:rPr>
                <w:sz w:val="20"/>
              </w:rPr>
              <w:t>0.074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1.082</w:t>
            </w:r>
          </w:p>
        </w:tc>
        <w:tc>
          <w:tcPr>
            <w:tcW w:type="dxa" w:w="1479"/>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607"/>
          </w:tcPr>
          <w:p>
            <w:pPr>
              <w:spacing w:after="0" w:line="240" w:lineRule="auto"/>
              <w:ind w:firstLine="0"/>
              <w:jc w:val="left"/>
            </w:pPr>
            <w:r/>
            <w:r>
              <w:rPr>
                <w:sz w:val="20"/>
              </w:rPr>
              <w:t>0.90</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0.873</w:t>
            </w:r>
          </w:p>
        </w:tc>
        <w:tc>
          <w:tcPr>
            <w:tcW w:type="dxa" w:w="1479"/>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0.0015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0.415</w:t>
            </w:r>
          </w:p>
        </w:tc>
        <w:tc>
          <w:tcPr>
            <w:tcW w:type="dxa" w:w="1479"/>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0.60</w:t>
            </w:r>
          </w:p>
        </w:tc>
      </w:tr>
      <w:tr>
        <w:trPr>
          <w:cantSplit w:val="true"/>
        </w:trPr>
        <w:tc>
          <w:tcPr>
            <w:tcW w:type="dxa" w:w="1943"/>
          </w:tcPr>
          <w:p>
            <w:pPr>
              <w:spacing w:after="0" w:line="240" w:lineRule="auto"/>
              <w:ind w:firstLine="0"/>
              <w:jc w:val="left"/>
            </w:pPr>
            <w:r/>
            <w:r>
              <w:rPr>
                <w:sz w:val="20"/>
              </w:rPr>
              <w:t>M3 (200, 168)</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1.018</w:t>
            </w:r>
          </w:p>
        </w:tc>
        <w:tc>
          <w:tcPr>
            <w:tcW w:type="dxa" w:w="1479"/>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607"/>
          </w:tcPr>
          <w:p>
            <w:pPr>
              <w:spacing w:after="0" w:line="240" w:lineRule="auto"/>
              <w:ind w:firstLine="0"/>
              <w:jc w:val="left"/>
            </w:pPr>
            <w:r/>
            <w:r>
              <w:rPr>
                <w:sz w:val="20"/>
              </w:rPr>
              <w:t>0.72</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0.858</w:t>
            </w:r>
          </w:p>
        </w:tc>
        <w:tc>
          <w:tcPr>
            <w:tcW w:type="dxa" w:w="1479"/>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M4 (211, 179)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1.015</w:t>
            </w:r>
          </w:p>
        </w:tc>
        <w:tc>
          <w:tcPr>
            <w:tcW w:type="dxa" w:w="1479"/>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607"/>
          </w:tcPr>
          <w:p>
            <w:pPr>
              <w:spacing w:after="0" w:line="240" w:lineRule="auto"/>
              <w:ind w:firstLine="0"/>
              <w:jc w:val="left"/>
            </w:pPr>
            <w:r/>
            <w:r>
              <w:rPr>
                <w:sz w:val="20"/>
              </w:rPr>
              <w:t>0.44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0.591</w:t>
            </w:r>
          </w:p>
        </w:tc>
        <w:tc>
          <w:tcPr>
            <w:tcW w:type="dxa" w:w="1479"/>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M5 (188, 159)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1.016</w:t>
            </w:r>
          </w:p>
        </w:tc>
        <w:tc>
          <w:tcPr>
            <w:tcW w:type="dxa" w:w="1479"/>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607"/>
          </w:tcPr>
          <w:p>
            <w:pPr>
              <w:spacing w:after="0" w:line="240" w:lineRule="auto"/>
              <w:ind w:firstLine="0"/>
              <w:jc w:val="left"/>
            </w:pPr>
            <w:r/>
            <w:r>
              <w:rPr>
                <w:sz w:val="20"/>
              </w:rPr>
              <w:t>0.36</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1.106</w:t>
            </w:r>
          </w:p>
        </w:tc>
        <w:tc>
          <w:tcPr>
            <w:tcW w:type="dxa" w:w="1479"/>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0.68</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0.786</w:t>
            </w:r>
          </w:p>
        </w:tc>
        <w:tc>
          <w:tcPr>
            <w:tcW w:type="dxa" w:w="1479"/>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0.0025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0.381</w:t>
            </w:r>
          </w:p>
        </w:tc>
        <w:tc>
          <w:tcPr>
            <w:tcW w:type="dxa" w:w="1479"/>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0.95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0.896</w:t>
            </w:r>
          </w:p>
        </w:tc>
        <w:tc>
          <w:tcPr>
            <w:tcW w:type="dxa" w:w="1479"/>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607"/>
          </w:tcPr>
          <w:p>
            <w:pPr>
              <w:spacing w:after="0" w:line="240" w:lineRule="auto"/>
              <w:ind w:firstLine="0"/>
              <w:jc w:val="left"/>
            </w:pPr>
            <w:r/>
            <w:r>
              <w:rPr>
                <w:sz w:val="20"/>
              </w:rPr>
              <w:t>0.79</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0.462</w:t>
            </w:r>
          </w:p>
        </w:tc>
        <w:tc>
          <w:tcPr>
            <w:tcW w:type="dxa" w:w="1479"/>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607"/>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909"/>
        <w:gridCol w:w="2161"/>
      </w:tblGrid>
      <w:tr>
        <w:trPr>
          <w:cantSplit w:val="true"/>
          <w:tblHeader w:val="true"/>
        </w:trPr>
        <w:tc>
          <w:tcPr>
            <w:tcW w:type="dxa" w:w="6910"/>
            <w:shd w:val="clear" w:fill="E7EEF6"/>
          </w:tcPr>
          <w:p>
            <w:pPr>
              <w:keepNext/>
              <w:spacing w:after="0" w:line="240" w:lineRule="auto"/>
              <w:ind w:firstLine="0"/>
              <w:jc w:val="left"/>
            </w:pPr>
            <w:r/>
            <w:r>
              <w:rPr>
                <w:b/>
                <w:sz w:val="20"/>
              </w:rPr>
              <w:t>Шаг</w:t>
            </w:r>
          </w:p>
        </w:tc>
        <w:tc>
          <w:tcPr>
            <w:tcW w:type="dxa" w:w="2161"/>
            <w:shd w:val="clear" w:fill="E7EEF6"/>
          </w:tcPr>
          <w:p>
            <w:pPr>
              <w:keepNext/>
              <w:spacing w:after="0" w:line="240" w:lineRule="auto"/>
              <w:ind w:firstLine="0"/>
              <w:jc w:val="left"/>
            </w:pPr>
            <w:r/>
            <w:r>
              <w:rPr>
                <w:b/>
                <w:sz w:val="20"/>
              </w:rPr>
              <w:t>Пациентов</w:t>
            </w:r>
          </w:p>
        </w:tc>
      </w:tr>
      <w:tr>
        <w:trPr>
          <w:cantSplit w:val="true"/>
        </w:trPr>
        <w:tc>
          <w:tcPr>
            <w:tcW w:type="dxa" w:w="6910"/>
          </w:tcPr>
          <w:p>
            <w:pPr>
              <w:keepNext/>
              <w:spacing w:after="0" w:line="240" w:lineRule="auto"/>
              <w:ind w:firstLine="0"/>
              <w:jc w:val="left"/>
            </w:pPr>
            <w:r/>
            <w:r>
              <w:rPr>
                <w:sz w:val="20"/>
              </w:rPr>
              <w:t>Клинические таблицы mRNAseq_693 + mRNAseq_325</w:t>
            </w:r>
          </w:p>
        </w:tc>
        <w:tc>
          <w:tcPr>
            <w:tcW w:type="dxa" w:w="2161"/>
          </w:tcPr>
          <w:p>
            <w:pPr>
              <w:keepNext/>
              <w:spacing w:after="0" w:line="240" w:lineRule="auto"/>
              <w:ind w:firstLine="0"/>
              <w:jc w:val="left"/>
            </w:pPr>
            <w:r/>
            <w:r>
              <w:rPr>
                <w:sz w:val="20"/>
              </w:rPr>
              <w:t>1018</w:t>
            </w:r>
          </w:p>
        </w:tc>
      </w:tr>
      <w:tr>
        <w:trPr>
          <w:cantSplit w:val="true"/>
        </w:trPr>
        <w:tc>
          <w:tcPr>
            <w:tcW w:type="dxa" w:w="6910"/>
          </w:tcPr>
          <w:p>
            <w:pPr>
              <w:keepNext/>
              <w:spacing w:after="0" w:line="240" w:lineRule="auto"/>
              <w:ind w:firstLine="0"/>
              <w:jc w:val="left"/>
            </w:pPr>
            <w:r/>
            <w:r>
              <w:rPr>
                <w:sz w:val="20"/>
              </w:rPr>
              <w:t>IV степень по ВОЗ</w:t>
            </w:r>
          </w:p>
        </w:tc>
        <w:tc>
          <w:tcPr>
            <w:tcW w:type="dxa" w:w="2161"/>
          </w:tcPr>
          <w:p>
            <w:pPr>
              <w:keepNext/>
              <w:spacing w:after="0" w:line="240" w:lineRule="auto"/>
              <w:ind w:firstLine="0"/>
              <w:jc w:val="left"/>
            </w:pPr>
            <w:r/>
            <w:r>
              <w:rPr>
                <w:sz w:val="20"/>
              </w:rPr>
              <w:t>388</w:t>
            </w:r>
          </w:p>
        </w:tc>
      </w:tr>
      <w:tr>
        <w:trPr>
          <w:cantSplit w:val="true"/>
        </w:trPr>
        <w:tc>
          <w:tcPr>
            <w:tcW w:type="dxa" w:w="6910"/>
          </w:tcPr>
          <w:p>
            <w:pPr>
              <w:keepNext/>
              <w:spacing w:after="0" w:line="240" w:lineRule="auto"/>
              <w:ind w:firstLine="0"/>
              <w:jc w:val="left"/>
            </w:pPr>
            <w:r/>
            <w:r>
              <w:rPr>
                <w:sz w:val="20"/>
              </w:rPr>
              <w:t>Гистология GBM (исключены 133 rGBM и 30 sGBM)</w:t>
            </w:r>
          </w:p>
        </w:tc>
        <w:tc>
          <w:tcPr>
            <w:tcW w:type="dxa" w:w="2161"/>
          </w:tcPr>
          <w:p>
            <w:pPr>
              <w:keepNext/>
              <w:spacing w:after="0" w:line="240" w:lineRule="auto"/>
              <w:ind w:firstLine="0"/>
              <w:jc w:val="left"/>
            </w:pPr>
            <w:r/>
            <w:r>
              <w:rPr>
                <w:sz w:val="20"/>
              </w:rPr>
              <w:t>225</w:t>
            </w:r>
          </w:p>
        </w:tc>
      </w:tr>
      <w:tr>
        <w:trPr>
          <w:cantSplit w:val="true"/>
        </w:trPr>
        <w:tc>
          <w:tcPr>
            <w:tcW w:type="dxa" w:w="6910"/>
          </w:tcPr>
          <w:p>
            <w:pPr>
              <w:keepNext/>
              <w:spacing w:after="0" w:line="240" w:lineRule="auto"/>
              <w:ind w:firstLine="0"/>
              <w:jc w:val="left"/>
            </w:pPr>
            <w:r/>
            <w:r>
              <w:rPr>
                <w:sz w:val="20"/>
              </w:rPr>
              <w:t>Первичная опухоль</w:t>
            </w:r>
          </w:p>
        </w:tc>
        <w:tc>
          <w:tcPr>
            <w:tcW w:type="dxa" w:w="2161"/>
          </w:tcPr>
          <w:p>
            <w:pPr>
              <w:keepNext/>
              <w:spacing w:after="0" w:line="240" w:lineRule="auto"/>
              <w:ind w:firstLine="0"/>
              <w:jc w:val="left"/>
            </w:pPr>
            <w:r/>
            <w:r>
              <w:rPr>
                <w:sz w:val="20"/>
              </w:rPr>
              <w:t>225</w:t>
            </w:r>
          </w:p>
        </w:tc>
      </w:tr>
      <w:tr>
        <w:trPr>
          <w:cantSplit w:val="true"/>
        </w:trPr>
        <w:tc>
          <w:tcPr>
            <w:tcW w:type="dxa" w:w="6910"/>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161"/>
          </w:tcPr>
          <w:p>
            <w:pPr>
              <w:spacing w:after="0" w:line="240" w:lineRule="auto"/>
              <w:ind w:firstLine="0"/>
              <w:jc w:val="left"/>
            </w:pPr>
            <w:r/>
            <w:r>
              <w:rPr>
                <w:sz w:val="20"/>
              </w:rPr>
              <w:t>218</w:t>
            </w:r>
          </w:p>
        </w:tc>
      </w:tr>
    </w:tbl>
    <w:p>
      <w:pPr>
        <w:spacing w:after="120"/>
      </w:pPr>
    </w:p>
    <w:p>
      <w:pPr>
        <w:keepNext/>
        <w:spacing w:after="80"/>
        <w:jc w:val="left"/>
      </w:pPr>
      <w:r>
        <w:rPr>
          <w:b/>
          <w:sz w:val="22"/>
        </w:rPr>
        <w:t>Таблица А5. Пол и KPS, введённые по отдельности на одних и тех же пациентах, чтобы показать, какая из переменных сдвигает оценку возраста в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99"/>
        <w:gridCol w:w="599"/>
        <w:gridCol w:w="793"/>
        <w:gridCol w:w="1587"/>
        <w:gridCol w:w="1499"/>
        <w:gridCol w:w="1642"/>
        <w:gridCol w:w="848"/>
      </w:tblGrid>
      <w:tr>
        <w:trPr>
          <w:cantSplit w:val="true"/>
          <w:tblHeader w:val="true"/>
        </w:trPr>
        <w:tc>
          <w:tcPr>
            <w:tcW w:type="dxa" w:w="2100"/>
            <w:shd w:val="clear" w:fill="E7EEF6"/>
          </w:tcPr>
          <w:p>
            <w:pPr>
              <w:keepNext/>
              <w:spacing w:after="0" w:line="240" w:lineRule="auto"/>
              <w:ind w:firstLine="0"/>
              <w:jc w:val="left"/>
            </w:pPr>
            <w:r/>
            <w:r>
              <w:rPr>
                <w:b/>
                <w:sz w:val="20"/>
              </w:rPr>
              <w:t>Модель</w:t>
            </w:r>
          </w:p>
        </w:tc>
        <w:tc>
          <w:tcPr>
            <w:tcW w:type="dxa" w:w="600"/>
            <w:shd w:val="clear" w:fill="E7EEF6"/>
          </w:tcPr>
          <w:p>
            <w:pPr>
              <w:keepNext/>
              <w:spacing w:after="0" w:line="240" w:lineRule="auto"/>
              <w:ind w:firstLine="0"/>
              <w:jc w:val="left"/>
            </w:pPr>
            <w:r/>
            <w:r>
              <w:rPr>
                <w:b/>
                <w:sz w:val="20"/>
              </w:rPr>
              <w:t>n</w:t>
            </w:r>
          </w:p>
        </w:tc>
        <w:tc>
          <w:tcPr>
            <w:tcW w:type="dxa" w:w="794"/>
            <w:shd w:val="clear" w:fill="E7EEF6"/>
          </w:tcPr>
          <w:p>
            <w:pPr>
              <w:keepNext/>
              <w:spacing w:after="0" w:line="240" w:lineRule="auto"/>
              <w:ind w:firstLine="0"/>
              <w:jc w:val="left"/>
            </w:pPr>
            <w:r/>
            <w:r>
              <w:rPr>
                <w:b/>
                <w:sz w:val="20"/>
              </w:rPr>
              <w:t>Смертей</w:t>
            </w:r>
          </w:p>
        </w:tc>
        <w:tc>
          <w:tcPr>
            <w:tcW w:type="dxa" w:w="1587"/>
            <w:shd w:val="clear" w:fill="E7EEF6"/>
          </w:tcPr>
          <w:p>
            <w:pPr>
              <w:keepNext/>
              <w:spacing w:after="0" w:line="240" w:lineRule="auto"/>
              <w:ind w:firstLine="0"/>
              <w:jc w:val="left"/>
            </w:pPr>
            <w:r/>
            <w:r>
              <w:rPr>
                <w:b/>
                <w:sz w:val="20"/>
              </w:rPr>
              <w:t>Возраст, ОР на год (95 % ДИ)</w:t>
            </w:r>
          </w:p>
        </w:tc>
        <w:tc>
          <w:tcPr>
            <w:tcW w:type="dxa" w:w="1500"/>
            <w:shd w:val="clear" w:fill="E7EEF6"/>
          </w:tcPr>
          <w:p>
            <w:pPr>
              <w:keepNext/>
              <w:spacing w:after="0" w:line="240" w:lineRule="auto"/>
              <w:ind w:firstLine="0"/>
              <w:jc w:val="left"/>
            </w:pPr>
            <w:r/>
            <w:r>
              <w:rPr>
                <w:b/>
                <w:sz w:val="20"/>
              </w:rPr>
              <w:t>Мужской пол, ОР (95 % ДИ)</w:t>
            </w:r>
          </w:p>
        </w:tc>
        <w:tc>
          <w:tcPr>
            <w:tcW w:type="dxa" w:w="1643"/>
            <w:shd w:val="clear" w:fill="E7EEF6"/>
          </w:tcPr>
          <w:p>
            <w:pPr>
              <w:keepNext/>
              <w:spacing w:after="0" w:line="240" w:lineRule="auto"/>
              <w:ind w:firstLine="0"/>
              <w:jc w:val="left"/>
            </w:pPr>
            <w:r/>
            <w:r>
              <w:rPr>
                <w:b/>
                <w:sz w:val="20"/>
              </w:rPr>
              <w:t>KPS на 10 баллов, ОР (95 % ДИ)</w:t>
            </w:r>
          </w:p>
        </w:tc>
        <w:tc>
          <w:tcPr>
            <w:tcW w:type="dxa" w:w="848"/>
            <w:shd w:val="clear" w:fill="E7EEF6"/>
          </w:tcPr>
          <w:p>
            <w:pPr>
              <w:keepNext/>
              <w:spacing w:after="0" w:line="240" w:lineRule="auto"/>
              <w:ind w:firstLine="0"/>
              <w:jc w:val="left"/>
            </w:pPr>
            <w:r/>
            <w:r>
              <w:rPr>
                <w:b/>
                <w:sz w:val="20"/>
              </w:rPr>
              <w:t>C-индекс</w:t>
            </w:r>
          </w:p>
        </w:tc>
      </w:tr>
      <w:tr>
        <w:trPr>
          <w:cantSplit w:val="true"/>
        </w:trPr>
        <w:tc>
          <w:tcPr>
            <w:tcW w:type="dxa" w:w="2100"/>
          </w:tcPr>
          <w:p>
            <w:pPr>
              <w:keepNext/>
              <w:spacing w:after="0" w:line="240" w:lineRule="auto"/>
              <w:ind w:firstLine="0"/>
              <w:jc w:val="left"/>
            </w:pPr>
            <w:r/>
            <w:r>
              <w:rPr>
                <w:sz w:val="20"/>
              </w:rPr>
              <w:t>Только возраст,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Возраст +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1.19 (0.99–1.43)</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Только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w:t>
            </w:r>
          </w:p>
        </w:tc>
        <w:tc>
          <w:tcPr>
            <w:tcW w:type="dxa" w:w="1500"/>
          </w:tcPr>
          <w:p>
            <w:pPr>
              <w:keepNext/>
              <w:spacing w:after="0" w:line="240" w:lineRule="auto"/>
              <w:ind w:firstLine="0"/>
              <w:jc w:val="left"/>
            </w:pPr>
            <w:r/>
            <w:r>
              <w:rPr>
                <w:sz w:val="20"/>
              </w:rPr>
              <w:t>1.21 (1.01–1.46)</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0.512</w:t>
            </w:r>
          </w:p>
        </w:tc>
      </w:tr>
      <w:tr>
        <w:trPr>
          <w:cantSplit w:val="true"/>
        </w:trPr>
        <w:tc>
          <w:tcPr>
            <w:tcW w:type="dxa" w:w="2100"/>
          </w:tcPr>
          <w:p>
            <w:pPr>
              <w:keepNext/>
              <w:spacing w:after="0" w:line="240" w:lineRule="auto"/>
              <w:ind w:firstLine="0"/>
              <w:jc w:val="left"/>
            </w:pPr>
            <w:r/>
            <w:r>
              <w:rPr>
                <w:sz w:val="20"/>
              </w:rPr>
              <w:t>Только возраст,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(1.025–1.042)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0.648</w:t>
            </w:r>
          </w:p>
        </w:tc>
      </w:tr>
      <w:tr>
        <w:trPr>
          <w:cantSplit w:val="true"/>
        </w:trPr>
        <w:tc>
          <w:tcPr>
            <w:tcW w:type="dxa" w:w="2100"/>
          </w:tcPr>
          <w:p>
            <w:pPr>
              <w:keepNext/>
              <w:spacing w:after="0" w:line="240" w:lineRule="auto"/>
              <w:ind w:firstLine="0"/>
              <w:jc w:val="left"/>
            </w:pPr>
            <w:r/>
            <w:r>
              <w:rPr>
                <w:sz w:val="20"/>
              </w:rPr>
              <w:t>Возраст + пол,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(1.024–1.041)</w:t>
            </w:r>
          </w:p>
        </w:tc>
        <w:tc>
          <w:tcPr>
            <w:tcW w:type="dxa" w:w="1500"/>
          </w:tcPr>
          <w:p>
            <w:pPr>
              <w:keepNext/>
              <w:spacing w:after="0" w:line="240" w:lineRule="auto"/>
              <w:ind w:firstLine="0"/>
              <w:jc w:val="left"/>
            </w:pPr>
            <w:r/>
            <w:r>
              <w:rPr>
                <w:sz w:val="20"/>
              </w:rPr>
              <w:t>1.21 (0.98–1.51)</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0.649</w:t>
            </w:r>
          </w:p>
        </w:tc>
      </w:tr>
      <w:tr>
        <w:trPr>
          <w:cantSplit w:val="true"/>
        </w:trPr>
        <w:tc>
          <w:tcPr>
            <w:tcW w:type="dxa" w:w="2100"/>
          </w:tcPr>
          <w:p>
            <w:pPr>
              <w:keepNext/>
              <w:spacing w:after="0" w:line="240" w:lineRule="auto"/>
              <w:ind w:firstLine="0"/>
              <w:jc w:val="left"/>
            </w:pPr>
            <w:r/>
            <w:r>
              <w:rPr>
                <w:sz w:val="20"/>
              </w:rPr>
              <w:t>Возраст +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1.029 (1.020–1.038)</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0.82 (0.76–0.89)</w:t>
            </w:r>
          </w:p>
        </w:tc>
        <w:tc>
          <w:tcPr>
            <w:tcW w:type="dxa" w:w="848"/>
          </w:tcPr>
          <w:p>
            <w:pPr>
              <w:keepNext/>
              <w:spacing w:after="0" w:line="240" w:lineRule="auto"/>
              <w:ind w:firstLine="0"/>
              <w:jc w:val="left"/>
            </w:pPr>
            <w:r/>
            <w:r>
              <w:rPr>
                <w:sz w:val="20"/>
              </w:rPr>
              <w:t>0.664</w:t>
            </w:r>
          </w:p>
        </w:tc>
      </w:tr>
      <w:tr>
        <w:trPr>
          <w:cantSplit w:val="true"/>
        </w:trPr>
        <w:tc>
          <w:tcPr>
            <w:tcW w:type="dxa" w:w="2100"/>
          </w:tcPr>
          <w:p>
            <w:pPr>
              <w:keepNext/>
              <w:spacing w:after="0" w:line="240" w:lineRule="auto"/>
              <w:ind w:firstLine="0"/>
              <w:jc w:val="left"/>
            </w:pPr>
            <w:r/>
            <w:r>
              <w:rPr>
                <w:sz w:val="20"/>
              </w:rPr>
              <w:t>Возраст + пол + KPS (M2)</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1.028 (1.019–1.037)</w:t>
            </w:r>
          </w:p>
        </w:tc>
        <w:tc>
          <w:tcPr>
            <w:tcW w:type="dxa" w:w="1500"/>
          </w:tcPr>
          <w:p>
            <w:pPr>
              <w:keepNext/>
              <w:spacing w:after="0" w:line="240" w:lineRule="auto"/>
              <w:ind w:firstLine="0"/>
              <w:jc w:val="left"/>
            </w:pPr>
            <w:r/>
            <w:r>
              <w:rPr>
                <w:sz w:val="20"/>
              </w:rPr>
              <w:t>1.33 (1.07–1.66)</w:t>
            </w:r>
          </w:p>
        </w:tc>
        <w:tc>
          <w:tcPr>
            <w:tcW w:type="dxa" w:w="1643"/>
          </w:tcPr>
          <w:p>
            <w:pPr>
              <w:keepNext/>
              <w:spacing w:after="0" w:line="240" w:lineRule="auto"/>
              <w:ind w:firstLine="0"/>
              <w:jc w:val="left"/>
            </w:pPr>
            <w:r/>
            <w:r>
              <w:rPr>
                <w:sz w:val="20"/>
              </w:rPr>
              <w:t>0.81 (0.75–0.87)</w:t>
            </w:r>
          </w:p>
        </w:tc>
        <w:tc>
          <w:tcPr>
            <w:tcW w:type="dxa" w:w="848"/>
          </w:tcPr>
          <w:p>
            <w:pPr>
              <w:keepNext/>
              <w:spacing w:after="0" w:line="240" w:lineRule="auto"/>
              <w:ind w:firstLine="0"/>
              <w:jc w:val="left"/>
            </w:pPr>
            <w:r/>
            <w:r>
              <w:rPr>
                <w:sz w:val="20"/>
              </w:rPr>
              <w:t>0.666</w:t>
            </w:r>
          </w:p>
        </w:tc>
      </w:tr>
      <w:tr>
        <w:trPr>
          <w:cantSplit w:val="true"/>
        </w:trPr>
        <w:tc>
          <w:tcPr>
            <w:tcW w:type="dxa" w:w="2100"/>
          </w:tcPr>
          <w:p>
            <w:pPr>
              <w:spacing w:after="0" w:line="240" w:lineRule="auto"/>
              <w:ind w:firstLine="0"/>
              <w:jc w:val="left"/>
            </w:pPr>
            <w:r/>
            <w:r>
              <w:rPr>
                <w:sz w:val="20"/>
              </w:rPr>
              <w:t>Возраст + пол + KPS, без двух пациентов с KPS = 0</w:t>
            </w:r>
          </w:p>
        </w:tc>
        <w:tc>
          <w:tcPr>
            <w:tcW w:type="dxa" w:w="600"/>
          </w:tcPr>
          <w:p>
            <w:pPr>
              <w:spacing w:after="0" w:line="240" w:lineRule="auto"/>
              <w:ind w:firstLine="0"/>
              <w:jc w:val="left"/>
            </w:pPr>
            <w:r/>
            <w:r>
              <w:rPr>
                <w:sz w:val="20"/>
              </w:rPr>
              <w:t>437</w:t>
            </w:r>
          </w:p>
        </w:tc>
        <w:tc>
          <w:tcPr>
            <w:tcW w:type="dxa" w:w="794"/>
          </w:tcPr>
          <w:p>
            <w:pPr>
              <w:spacing w:after="0" w:line="240" w:lineRule="auto"/>
              <w:ind w:firstLine="0"/>
              <w:jc w:val="left"/>
            </w:pPr>
            <w:r/>
            <w:r>
              <w:rPr>
                <w:sz w:val="20"/>
              </w:rPr>
              <w:t>357</w:t>
            </w:r>
          </w:p>
        </w:tc>
        <w:tc>
          <w:tcPr>
            <w:tcW w:type="dxa" w:w="1587"/>
          </w:tcPr>
          <w:p>
            <w:pPr>
              <w:spacing w:after="0" w:line="240" w:lineRule="auto"/>
              <w:ind w:firstLine="0"/>
              <w:jc w:val="left"/>
            </w:pPr>
            <w:r/>
            <w:r>
              <w:rPr>
                <w:sz w:val="20"/>
              </w:rPr>
              <w:t>1.028 (1.019–1.037)</w:t>
            </w:r>
          </w:p>
        </w:tc>
        <w:tc>
          <w:tcPr>
            <w:tcW w:type="dxa" w:w="1500"/>
          </w:tcPr>
          <w:p>
            <w:pPr>
              <w:spacing w:after="0" w:line="240" w:lineRule="auto"/>
              <w:ind w:firstLine="0"/>
              <w:jc w:val="left"/>
            </w:pPr>
            <w:r/>
            <w:r>
              <w:rPr>
                <w:sz w:val="20"/>
              </w:rPr>
              <w:t>1.33 (1.07–1.66)</w:t>
            </w:r>
          </w:p>
        </w:tc>
        <w:tc>
          <w:tcPr>
            <w:tcW w:type="dxa" w:w="1643"/>
          </w:tcPr>
          <w:p>
            <w:pPr>
              <w:spacing w:after="0" w:line="240" w:lineRule="auto"/>
              <w:ind w:firstLine="0"/>
              <w:jc w:val="left"/>
            </w:pPr>
            <w:r/>
            <w:r>
              <w:rPr>
                <w:sz w:val="20"/>
              </w:rPr>
              <w:t>0.81 (0.74–0.88)</w:t>
            </w:r>
          </w:p>
        </w:tc>
        <w:tc>
          <w:tcPr>
            <w:tcW w:type="dxa" w:w="848"/>
          </w:tcPr>
          <w:p>
            <w:pPr>
              <w:spacing w:after="0" w:line="240" w:lineRule="auto"/>
              <w:ind w:firstLine="0"/>
              <w:jc w:val="left"/>
            </w:pPr>
            <w:r/>
            <w:r>
              <w:rPr>
                <w:sz w:val="20"/>
              </w:rPr>
              <w:t>0.664</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42"/>
        <w:gridCol w:w="3372"/>
        <w:gridCol w:w="2856"/>
      </w:tblGrid>
      <w:tr>
        <w:trPr>
          <w:cantSplit w:val="true"/>
          <w:tblHeader w:val="true"/>
        </w:trPr>
        <w:tc>
          <w:tcPr>
            <w:tcW w:type="dxa" w:w="2842"/>
            <w:shd w:val="clear" w:fill="E7EEF6"/>
          </w:tcPr>
          <w:p>
            <w:pPr>
              <w:keepNext/>
              <w:spacing w:after="0" w:line="240" w:lineRule="auto"/>
              <w:ind w:firstLine="0"/>
              <w:jc w:val="left"/>
            </w:pPr>
            <w:r/>
            <w:r>
              <w:rPr>
                <w:b/>
                <w:sz w:val="20"/>
              </w:rPr>
              <w:t>Файл (cBioPortal, gbm_tcga)</w:t>
            </w:r>
          </w:p>
        </w:tc>
        <w:tc>
          <w:tcPr>
            <w:tcW w:type="dxa" w:w="3372"/>
            <w:shd w:val="clear" w:fill="E7EEF6"/>
          </w:tcPr>
          <w:p>
            <w:pPr>
              <w:keepNext/>
              <w:spacing w:after="0" w:line="240" w:lineRule="auto"/>
              <w:ind w:firstLine="0"/>
              <w:jc w:val="left"/>
            </w:pPr>
            <w:r/>
            <w:r>
              <w:rPr>
                <w:b/>
                <w:sz w:val="20"/>
              </w:rPr>
              <w:t>Использованные поля</w:t>
            </w:r>
          </w:p>
        </w:tc>
        <w:tc>
          <w:tcPr>
            <w:tcW w:type="dxa" w:w="2856"/>
            <w:shd w:val="clear" w:fill="E7EEF6"/>
          </w:tcPr>
          <w:p>
            <w:pPr>
              <w:keepNext/>
              <w:spacing w:after="0" w:line="240" w:lineRule="auto"/>
              <w:ind w:firstLine="0"/>
              <w:jc w:val="left"/>
            </w:pPr>
            <w:r/>
            <w:r>
              <w:rPr>
                <w:b/>
                <w:sz w:val="20"/>
              </w:rPr>
              <w:t>Полученная переменная</w:t>
            </w:r>
          </w:p>
        </w:tc>
      </w:tr>
      <w:tr>
        <w:trPr>
          <w:cantSplit w:val="true"/>
        </w:trPr>
        <w:tc>
          <w:tcPr>
            <w:tcW w:type="dxa" w:w="2842"/>
          </w:tcPr>
          <w:p>
            <w:pPr>
              <w:keepNext/>
              <w:spacing w:after="0" w:line="240" w:lineRule="auto"/>
              <w:ind w:firstLine="0"/>
              <w:jc w:val="left"/>
            </w:pPr>
            <w:r/>
            <w:r>
              <w:rPr>
                <w:sz w:val="20"/>
              </w:rPr>
              <w:t>clinical.tsv (TCGA)</w:t>
            </w:r>
          </w:p>
        </w:tc>
        <w:tc>
          <w:tcPr>
            <w:tcW w:type="dxa" w:w="3372"/>
          </w:tcPr>
          <w:p>
            <w:pPr>
              <w:keepNext/>
              <w:spacing w:after="0" w:line="240" w:lineRule="auto"/>
              <w:ind w:firstLine="0"/>
              <w:jc w:val="left"/>
            </w:pPr>
            <w:r/>
            <w:r>
              <w:rPr>
                <w:sz w:val="20"/>
              </w:rPr>
              <w:t>Patient ID, Diagnosis Age, Overall Survival (Months), Overall Survival Status, Sex, Karnofsky Performance Score</w:t>
            </w:r>
          </w:p>
        </w:tc>
        <w:tc>
          <w:tcPr>
            <w:tcW w:type="dxa" w:w="2856"/>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2842"/>
          </w:tcPr>
          <w:p>
            <w:pPr>
              <w:keepNext/>
              <w:spacing w:after="0" w:line="240" w:lineRule="auto"/>
              <w:ind w:firstLine="0"/>
              <w:jc w:val="left"/>
            </w:pPr>
            <w:r/>
            <w:r>
              <w:rPr>
                <w:sz w:val="20"/>
              </w:rPr>
              <w:t>CGGA.mRNAseq_693_clinical, CGGA.mRNAseq_325_clinical</w:t>
            </w:r>
          </w:p>
        </w:tc>
        <w:tc>
          <w:tcPr>
            <w:tcW w:type="dxa" w:w="3372"/>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2856"/>
          </w:tcPr>
          <w:p>
            <w:pPr>
              <w:keepNext/>
              <w:spacing w:after="0" w:line="240" w:lineRule="auto"/>
              <w:ind w:firstLine="0"/>
              <w:jc w:val="left"/>
            </w:pPr>
            <w:r/>
            <w:r>
              <w:rPr>
                <w:sz w:val="20"/>
              </w:rPr>
              <w:t>AGE, OS_MONTHS (= OS / 30.4375), event, male, radio, chemo, idh_mut, mgmt_meth</w:t>
            </w:r>
          </w:p>
        </w:tc>
      </w:tr>
      <w:tr>
        <w:trPr>
          <w:cantSplit w:val="true"/>
        </w:trPr>
        <w:tc>
          <w:tcPr>
            <w:tcW w:type="dxa" w:w="2842"/>
          </w:tcPr>
          <w:p>
            <w:pPr>
              <w:keepNext/>
              <w:spacing w:after="0" w:line="240" w:lineRule="auto"/>
              <w:ind w:firstLine="0"/>
              <w:jc w:val="left"/>
            </w:pPr>
            <w:r/>
            <w:r>
              <w:rPr>
                <w:sz w:val="20"/>
              </w:rPr>
              <w:t>mutations.txt</w:t>
            </w:r>
          </w:p>
        </w:tc>
        <w:tc>
          <w:tcPr>
            <w:tcW w:type="dxa" w:w="3372"/>
          </w:tcPr>
          <w:p>
            <w:pPr>
              <w:keepNext/>
              <w:spacing w:after="0" w:line="240" w:lineRule="auto"/>
              <w:ind w:firstLine="0"/>
              <w:jc w:val="left"/>
            </w:pPr>
            <w:r/>
            <w:r>
              <w:rPr>
                <w:sz w:val="20"/>
              </w:rPr>
              <w:t>SAMPLE_ID, IDH1, IDH2</w:t>
            </w:r>
          </w:p>
        </w:tc>
        <w:tc>
          <w:tcPr>
            <w:tcW w:type="dxa" w:w="2856"/>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2842"/>
          </w:tcPr>
          <w:p>
            <w:pPr>
              <w:keepNext/>
              <w:spacing w:after="0" w:line="240" w:lineRule="auto"/>
              <w:ind w:firstLine="0"/>
              <w:jc w:val="left"/>
            </w:pPr>
            <w:r/>
            <w:r>
              <w:rPr>
                <w:sz w:val="20"/>
              </w:rPr>
              <w:t>methylation_hm27.txt, methylation_hm450.txt</w:t>
            </w:r>
          </w:p>
        </w:tc>
        <w:tc>
          <w:tcPr>
            <w:tcW w:type="dxa" w:w="3372"/>
          </w:tcPr>
          <w:p>
            <w:pPr>
              <w:keepNext/>
              <w:spacing w:after="0" w:line="240" w:lineRule="auto"/>
              <w:ind w:firstLine="0"/>
              <w:jc w:val="left"/>
            </w:pPr>
            <w:r/>
            <w:r>
              <w:rPr>
                <w:sz w:val="20"/>
              </w:rPr>
              <w:t>SAMPLE_ID, MGMT (бета-значение)</w:t>
            </w:r>
          </w:p>
        </w:tc>
        <w:tc>
          <w:tcPr>
            <w:tcW w:type="dxa" w:w="2856"/>
          </w:tcPr>
          <w:p>
            <w:pPr>
              <w:keepNext/>
              <w:spacing w:after="0" w:line="240" w:lineRule="auto"/>
              <w:ind w:firstLine="0"/>
              <w:jc w:val="left"/>
            </w:pPr>
            <w:r/>
            <w:r>
              <w:rPr>
                <w:sz w:val="20"/>
              </w:rPr>
              <w:t>beta (большее из двух платформ), mgmt_meth (гауссова смесь по платформам, верхняя компонента = 1)</w:t>
            </w:r>
          </w:p>
        </w:tc>
      </w:tr>
      <w:tr>
        <w:trPr>
          <w:cantSplit w:val="true"/>
        </w:trPr>
        <w:tc>
          <w:tcPr>
            <w:tcW w:type="dxa" w:w="2842"/>
          </w:tcPr>
          <w:p>
            <w:pPr>
              <w:keepNext/>
              <w:spacing w:after="0" w:line="240" w:lineRule="auto"/>
              <w:ind w:firstLine="0"/>
              <w:jc w:val="left"/>
            </w:pPr>
            <w:r/>
            <w:r>
              <w:rPr>
                <w:sz w:val="20"/>
              </w:rPr>
              <w:t>data_mrna_agilent_microarray.txt, data_mrna_seq_v2_rsem.txt (gbm_tcga); CGGA.mRNAseq_693/325.RSEM-genes</w:t>
            </w:r>
          </w:p>
        </w:tc>
        <w:tc>
          <w:tcPr>
            <w:tcW w:type="dxa" w:w="3372"/>
          </w:tcPr>
          <w:p>
            <w:pPr>
              <w:keepNext/>
              <w:spacing w:after="0" w:line="240" w:lineRule="auto"/>
              <w:ind w:firstLine="0"/>
              <w:jc w:val="left"/>
            </w:pPr>
            <w:r/>
            <w:r>
              <w:rPr>
                <w:sz w:val="20"/>
              </w:rPr>
              <w:t>экспрессия по символам генов</w:t>
            </w:r>
          </w:p>
        </w:tc>
        <w:tc>
          <w:tcPr>
            <w:tcW w:type="dxa" w:w="2856"/>
          </w:tcPr>
          <w:p>
            <w:pPr>
              <w:keepNext/>
              <w:spacing w:after="0" w:line="240" w:lineRule="auto"/>
              <w:ind w:firstLine="0"/>
              <w:jc w:val="left"/>
            </w:pPr>
            <w:r/>
            <w:r>
              <w:rPr>
                <w:sz w:val="20"/>
              </w:rPr>
              <w:t>четыре балла состояний, p_MES, p_AC, p_OPC, p_NPC, энтропия, доминирующее состояние</w:t>
            </w:r>
          </w:p>
        </w:tc>
      </w:tr>
      <w:tr>
        <w:trPr>
          <w:cantSplit w:val="true"/>
        </w:trPr>
        <w:tc>
          <w:tcPr>
            <w:tcW w:type="dxa" w:w="2842"/>
          </w:tcPr>
          <w:p>
            <w:pPr>
              <w:keepNext/>
              <w:spacing w:after="0" w:line="240" w:lineRule="auto"/>
              <w:ind w:firstLine="0"/>
              <w:jc w:val="left"/>
            </w:pPr>
            <w:r/>
            <w:r>
              <w:rPr>
                <w:sz w:val="20"/>
              </w:rPr>
              <w:t>data_mutations.txt (gbm_tcga_pan_can_atlas_2018)</w:t>
            </w:r>
          </w:p>
        </w:tc>
        <w:tc>
          <w:tcPr>
            <w:tcW w:type="dxa" w:w="3372"/>
          </w:tcPr>
          <w:p>
            <w:pPr>
              <w:keepNext/>
              <w:spacing w:after="0" w:line="240" w:lineRule="auto"/>
              <w:ind w:firstLine="0"/>
              <w:jc w:val="left"/>
            </w:pPr>
            <w:r/>
            <w:r>
              <w:rPr>
                <w:sz w:val="20"/>
              </w:rPr>
              <w:t>Tumor_Sample_Barcode, Variant_Type, t_ref_count, t_alt_count</w:t>
            </w:r>
          </w:p>
        </w:tc>
        <w:tc>
          <w:tcPr>
            <w:tcW w:type="dxa" w:w="2856"/>
          </w:tcPr>
          <w:p>
            <w:pPr>
              <w:keepNext/>
              <w:spacing w:after="0" w:line="240" w:lineRule="auto"/>
              <w:ind w:firstLine="0"/>
              <w:jc w:val="left"/>
            </w:pPr>
            <w:r/>
            <w:r>
              <w:rPr>
                <w:sz w:val="20"/>
              </w:rPr>
              <w:t>аллельная частота каждой мутации, n_mut, MATH</w:t>
            </w:r>
          </w:p>
        </w:tc>
      </w:tr>
      <w:tr>
        <w:trPr>
          <w:cantSplit w:val="true"/>
        </w:trPr>
        <w:tc>
          <w:tcPr>
            <w:tcW w:type="dxa" w:w="2842"/>
          </w:tcPr>
          <w:p>
            <w:pPr>
              <w:keepNext/>
              <w:spacing w:after="0" w:line="240" w:lineRule="auto"/>
              <w:ind w:firstLine="0"/>
              <w:jc w:val="left"/>
            </w:pPr>
            <w:r/>
            <w:r>
              <w:rPr>
                <w:sz w:val="20"/>
              </w:rPr>
              <w:t>IDHwt.GBM.MetaModules.tsv (Neftel et al. 2019, таблица S2)</w:t>
            </w:r>
          </w:p>
        </w:tc>
        <w:tc>
          <w:tcPr>
            <w:tcW w:type="dxa" w:w="3372"/>
          </w:tcPr>
          <w:p>
            <w:pPr>
              <w:keepNext/>
              <w:spacing w:after="0" w:line="240" w:lineRule="auto"/>
              <w:ind w:firstLine="0"/>
              <w:jc w:val="left"/>
            </w:pPr>
            <w:r/>
            <w:r>
              <w:rPr>
                <w:sz w:val="20"/>
              </w:rPr>
              <w:t>MESlike1, MESlike2, AClike, OPClike, NPClike1, NPClike2</w:t>
            </w:r>
          </w:p>
        </w:tc>
        <w:tc>
          <w:tcPr>
            <w:tcW w:type="dxa" w:w="2856"/>
          </w:tcPr>
          <w:p>
            <w:pPr>
              <w:keepNext/>
              <w:spacing w:after="0" w:line="240" w:lineRule="auto"/>
              <w:ind w:firstLine="0"/>
              <w:jc w:val="left"/>
            </w:pPr>
            <w:r/>
            <w:r>
              <w:rPr>
                <w:sz w:val="20"/>
              </w:rPr>
              <w:t>четыре объединённых модуля генов</w:t>
            </w:r>
          </w:p>
        </w:tc>
      </w:tr>
      <w:tr>
        <w:trPr>
          <w:cantSplit w:val="true"/>
        </w:trPr>
        <w:tc>
          <w:tcPr>
            <w:tcW w:type="dxa" w:w="2842"/>
          </w:tcPr>
          <w:p>
            <w:pPr>
              <w:spacing w:after="0" w:line="240" w:lineRule="auto"/>
              <w:ind w:firstLine="0"/>
              <w:jc w:val="left"/>
            </w:pPr>
            <w:r/>
            <w:r>
              <w:rPr>
                <w:sz w:val="20"/>
              </w:rPr>
              <w:t>data_clinical_patient/sample.txt (glioma_mskcc_2019, gbm_cptac_2021)</w:t>
            </w:r>
          </w:p>
        </w:tc>
        <w:tc>
          <w:tcPr>
            <w:tcW w:type="dxa" w:w="3372"/>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56"/>
          </w:tcPr>
          <w:p>
            <w:pPr>
              <w:spacing w:after="0" w:line="240" w:lineRule="auto"/>
              <w:ind w:firstLine="0"/>
              <w:jc w:val="left"/>
            </w:pPr>
            <w:r/>
            <w:r>
              <w:rPr>
                <w:sz w:val="20"/>
              </w:rPr>
              <w:t>AGE, OS_MONTHS, event, male, mgmt_meth для двух дополнительных когорт</w:t>
            </w:r>
          </w:p>
        </w:tc>
      </w:tr>
    </w:tbl>
    <w:p>
      <w:pPr>
        <w:spacing w:after="120"/>
      </w:pPr>
    </w:p>
    <w:p>
      <w:pPr>
        <w:pStyle w:val="Heading2"/>
      </w:pPr>
      <w:r>
        <w:t>Приложение В. Код и воспроизводимость</w:t>
      </w:r>
    </w:p>
    <w:p>
      <w:pPr>
        <w:ind w:firstLine="567"/>
      </w:pPr>
      <w:r>
        <w:t>Всё находится в одном открытом репозитории: github.com/Nnnnshsjsjsj/gbm-age-survival. В папке analysis/ лежат скрипты: run.py читает неизменённые выгрузки cBioPortal и выводит каждое число из разделов 3.1–3.7; validate_cgga.py повторяет анализ на таблицах CGGA (раздел 3.8); compare_cohorts.py строит таблицу 9 и рисунки 6 и 7; mtable_sex_kps.py строит таблицу А5; heterogeneity.py вычисляет оба показателя гетерогенности и строит таблицы 10 и 11 и рисунки 8–10; meta_analysis.py гармонизирует когорты MSK-IMPACT и CPTAC, объединяет тринадцать оценок и строит таблицу 12 и рисунки 11 и 12; export_explorer.py и build_explorer.py собирают обзор когорт; make_golden.py записывает эталонные значения, с которыми сверяются тесты платформы. В папке data/ лежат гармонизированные таблицы на уровне пациента для всех четырёх когорт, списки генов Нефтеля и извлечённые опубликованные оценки; в results/ — все таблицы и журналы; в paper/ — этот документ на двух языках со скриптом сборки. Каждый скрипт выводит числа, за которые отвечает, так что любое значение в этой работе можно проследить до одной строки вывода. Расчёты пропорциональности рисков и гетерогенности занимают на ноутбуке меньше минуты.</w:t>
      </w:r>
    </w:p>
    <w:p>
      <w:pPr>
        <w:pStyle w:val="Heading2"/>
      </w:pPr>
      <w:r>
        <w:t>Приложение Г. Приложение plateau</w:t>
      </w:r>
    </w:p>
    <w:p>
      <w:pPr>
        <w:ind w:firstLine="567"/>
      </w:pPr>
      <w:r>
        <w:t>plateau доступно по адресу nnnnshsjsjsj.github.io/gbm-age-survival из папки docs/ репозитория; исходный код лежит в platform/. Это приложение на React. Его статистический движок (platform/src/engine/) — набор обычных модулей JavaScript для оценки Каплана — Мейера, лог-рангового критерия, регрессии Кокса с обработкой связей по Эфрону, критерия Шёнфельда и метаанализа случайных эффектов, а тесты в platform/tests/ сравнивают их с lifelines на четырёх референсных когортах и на смоделированных данных. Учётные записи и оба сообщества используют базу данных Supabase в ЕС, схема и правила безопасности на уровне строк которой лежат в platform/supabase/migrations/0002_plateau.sql. Правила разрешают читать семейные посты только членам семей и модераторам, разрешают делиться сводкой когорты только исследовательским учётным записям, держат каждый новый пост на проверке, пока его не одобрит модератор, и записывают каждое действие модерации в журнал. База не хранит ни одного поля, куда могла бы попасть строка пациента, и отклоняет сводки с менее чем 10 пациентами или 10 смертями. Сводка, которой пользователь решает поделиться, содержит численности, медианы, выживаемость в фиксированные моменты и коэффициенты моделей с их стандартными ошибками — и ничего больше.</w:t>
      </w:r>
    </w:p>
    <w:p>
      <w:pPr>
        <w:pStyle w:val="Heading2"/>
      </w:pPr>
      <w:r>
        <w:t>Приложение Д. Опубликованные оценки, использованные в метаанализе</w:t>
      </w:r>
    </w:p>
    <w:p>
      <w:pPr>
        <w:keepNext/>
        <w:spacing w:after="80"/>
        <w:jc w:val="left"/>
      </w:pPr>
      <w:r>
        <w:rPr>
          <w:b/>
          <w:sz w:val="22"/>
        </w:rPr>
        <w:t>Таблица Д1. Источник и форма каждой опубликованной оценки. Все прочитаны из текста или таблиц цитируемой статьи; URL в файле репозитория data/published_estimates.csv указывает на использованную страницу.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1736"/>
        <w:gridCol w:w="1802"/>
        <w:gridCol w:w="3405"/>
      </w:tblGrid>
      <w:tr>
        <w:trPr>
          <w:cantSplit w:val="true"/>
          <w:tblHeader w:val="true"/>
        </w:trPr>
        <w:tc>
          <w:tcPr>
            <w:tcW w:type="dxa" w:w="2127"/>
            <w:shd w:val="clear" w:fill="E7EEF6"/>
          </w:tcPr>
          <w:p>
            <w:pPr>
              <w:keepNext/>
              <w:spacing w:after="0" w:line="240" w:lineRule="auto"/>
              <w:ind w:firstLine="0"/>
              <w:jc w:val="left"/>
            </w:pPr>
            <w:r/>
            <w:r>
              <w:rPr>
                <w:b/>
                <w:sz w:val="20"/>
              </w:rPr>
              <w:t>Когорта</w:t>
            </w:r>
          </w:p>
        </w:tc>
        <w:tc>
          <w:tcPr>
            <w:tcW w:type="dxa" w:w="1736"/>
            <w:shd w:val="clear" w:fill="E7EEF6"/>
          </w:tcPr>
          <w:p>
            <w:pPr>
              <w:keepNext/>
              <w:spacing w:after="0" w:line="240" w:lineRule="auto"/>
              <w:ind w:firstLine="0"/>
              <w:jc w:val="left"/>
            </w:pPr>
            <w:r/>
            <w:r>
              <w:rPr>
                <w:b/>
                <w:sz w:val="20"/>
              </w:rPr>
              <w:t>Как приведено</w:t>
            </w:r>
          </w:p>
        </w:tc>
        <w:tc>
          <w:tcPr>
            <w:tcW w:type="dxa" w:w="1802"/>
            <w:shd w:val="clear" w:fill="E7EEF6"/>
          </w:tcPr>
          <w:p>
            <w:pPr>
              <w:keepNext/>
              <w:spacing w:after="0" w:line="240" w:lineRule="auto"/>
              <w:ind w:firstLine="0"/>
              <w:jc w:val="left"/>
            </w:pPr>
            <w:r/>
            <w:r>
              <w:rPr>
                <w:b/>
                <w:sz w:val="20"/>
              </w:rPr>
              <w:t>Откуда взято</w:t>
            </w:r>
          </w:p>
        </w:tc>
        <w:tc>
          <w:tcPr>
            <w:tcW w:type="dxa" w:w="3406"/>
            <w:shd w:val="clear" w:fill="E7EEF6"/>
          </w:tcPr>
          <w:p>
            <w:pPr>
              <w:keepNext/>
              <w:spacing w:after="0" w:line="240" w:lineRule="auto"/>
              <w:ind w:firstLine="0"/>
              <w:jc w:val="left"/>
            </w:pPr>
            <w:r/>
            <w:r>
              <w:rPr>
                <w:b/>
                <w:sz w:val="20"/>
              </w:rPr>
              <w:t>Примечание</w:t>
            </w:r>
          </w:p>
        </w:tc>
      </w:tr>
      <w:tr>
        <w:trPr>
          <w:cantSplit w:val="true"/>
        </w:trPr>
        <w:tc>
          <w:tcPr>
            <w:tcW w:type="dxa" w:w="2127"/>
          </w:tcPr>
          <w:p>
            <w:pPr>
              <w:keepNext/>
              <w:spacing w:after="0" w:line="240" w:lineRule="auto"/>
              <w:ind w:firstLine="0"/>
              <w:jc w:val="left"/>
            </w:pPr>
            <w:r/>
            <w:r>
              <w:rPr>
                <w:sz w:val="20"/>
              </w:rPr>
              <w:t>NRG/RTOG 0525 [44]</w:t>
            </w:r>
          </w:p>
        </w:tc>
        <w:tc>
          <w:tcPr>
            <w:tcW w:type="dxa" w:w="1736"/>
          </w:tcPr>
          <w:p>
            <w:pPr>
              <w:keepNext/>
              <w:spacing w:after="0" w:line="240" w:lineRule="auto"/>
              <w:ind w:firstLine="0"/>
              <w:jc w:val="left"/>
            </w:pPr>
            <w:r/>
            <w:r>
              <w:rPr>
                <w:sz w:val="20"/>
              </w:rPr>
              <w:t>1.030 на год, СО 0.0039</w:t>
            </w:r>
          </w:p>
        </w:tc>
        <w:tc>
          <w:tcPr>
            <w:tcW w:type="dxa" w:w="1802"/>
          </w:tcPr>
          <w:p>
            <w:pPr>
              <w:keepNext/>
              <w:spacing w:after="0" w:line="240" w:lineRule="auto"/>
              <w:ind w:firstLine="0"/>
              <w:jc w:val="left"/>
            </w:pPr>
            <w:r/>
            <w:r>
              <w:rPr>
                <w:sz w:val="20"/>
              </w:rPr>
              <w:t>Таблица 2, обучающая выборка</w:t>
            </w:r>
          </w:p>
        </w:tc>
        <w:tc>
          <w:tcPr>
            <w:tcW w:type="dxa" w:w="3406"/>
          </w:tcPr>
          <w:p>
            <w:pPr>
              <w:keepNext/>
              <w:spacing w:after="0" w:line="240" w:lineRule="auto"/>
              <w:ind w:firstLine="0"/>
              <w:jc w:val="left"/>
            </w:pPr>
            <w:r/>
            <w:r>
              <w:rPr>
                <w:sz w:val="20"/>
              </w:rPr>
              <w:t>Напечатанный интервал (1.026–1.034) — это ±1 СО; использован 95 % ДИ 1.022–1.038</w:t>
            </w:r>
          </w:p>
        </w:tc>
      </w:tr>
      <w:tr>
        <w:trPr>
          <w:cantSplit w:val="true"/>
        </w:trPr>
        <w:tc>
          <w:tcPr>
            <w:tcW w:type="dxa" w:w="2127"/>
          </w:tcPr>
          <w:p>
            <w:pPr>
              <w:keepNext/>
              <w:spacing w:after="0" w:line="240" w:lineRule="auto"/>
              <w:ind w:firstLine="0"/>
              <w:jc w:val="left"/>
            </w:pPr>
            <w:r/>
            <w:r>
              <w:rPr>
                <w:sz w:val="20"/>
              </w:rPr>
              <w:t>Ohio Brain Tumor Study [45]</w:t>
            </w:r>
          </w:p>
        </w:tc>
        <w:tc>
          <w:tcPr>
            <w:tcW w:type="dxa" w:w="1736"/>
          </w:tcPr>
          <w:p>
            <w:pPr>
              <w:keepNext/>
              <w:spacing w:after="0" w:line="240" w:lineRule="auto"/>
              <w:ind w:firstLine="0"/>
              <w:jc w:val="left"/>
            </w:pPr>
            <w:r/>
            <w:r>
              <w:rPr>
                <w:sz w:val="20"/>
              </w:rPr>
              <w:t>1.018 (1.002–1.034)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Копенгаген [46]</w:t>
            </w:r>
          </w:p>
        </w:tc>
        <w:tc>
          <w:tcPr>
            <w:tcW w:type="dxa" w:w="1736"/>
          </w:tcPr>
          <w:p>
            <w:pPr>
              <w:keepNext/>
              <w:spacing w:after="0" w:line="240" w:lineRule="auto"/>
              <w:ind w:firstLine="0"/>
              <w:jc w:val="left"/>
            </w:pPr>
            <w:r/>
            <w:r>
              <w:rPr>
                <w:sz w:val="20"/>
              </w:rPr>
              <w:t>1.18 (1.08–1.28) на 10 лет</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Пересчитано в 1.017 (1.008–1.025) на год; заменяет пересекающуюся более раннюю серию той же больницы</w:t>
            </w:r>
          </w:p>
        </w:tc>
      </w:tr>
      <w:tr>
        <w:trPr>
          <w:cantSplit w:val="true"/>
        </w:trPr>
        <w:tc>
          <w:tcPr>
            <w:tcW w:type="dxa" w:w="2127"/>
          </w:tcPr>
          <w:p>
            <w:pPr>
              <w:keepNext/>
              <w:spacing w:after="0" w:line="240" w:lineRule="auto"/>
              <w:ind w:firstLine="0"/>
              <w:jc w:val="left"/>
            </w:pPr>
            <w:r/>
            <w:r>
              <w:rPr>
                <w:sz w:val="20"/>
              </w:rPr>
              <w:t>Норвегия, популяционная [47]</w:t>
            </w:r>
          </w:p>
        </w:tc>
        <w:tc>
          <w:tcPr>
            <w:tcW w:type="dxa" w:w="1736"/>
          </w:tcPr>
          <w:p>
            <w:pPr>
              <w:keepNext/>
              <w:spacing w:after="0" w:line="240" w:lineRule="auto"/>
              <w:ind w:firstLine="0"/>
              <w:jc w:val="left"/>
            </w:pPr>
            <w:r/>
            <w:r>
              <w:rPr>
                <w:sz w:val="20"/>
              </w:rPr>
              <w:t>1.02 (1.01–1.03) на год</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694 пациента в модели</w:t>
            </w:r>
          </w:p>
        </w:tc>
      </w:tr>
      <w:tr>
        <w:trPr>
          <w:cantSplit w:val="true"/>
        </w:trPr>
        <w:tc>
          <w:tcPr>
            <w:tcW w:type="dxa" w:w="2127"/>
          </w:tcPr>
          <w:p>
            <w:pPr>
              <w:keepNext/>
              <w:spacing w:after="0" w:line="240" w:lineRule="auto"/>
              <w:ind w:firstLine="0"/>
              <w:jc w:val="left"/>
            </w:pPr>
            <w:r/>
            <w:r>
              <w:rPr>
                <w:sz w:val="20"/>
              </w:rPr>
              <w:t>SEER [48]</w:t>
            </w:r>
          </w:p>
        </w:tc>
        <w:tc>
          <w:tcPr>
            <w:tcW w:type="dxa" w:w="1736"/>
          </w:tcPr>
          <w:p>
            <w:pPr>
              <w:keepNext/>
              <w:spacing w:after="0" w:line="240" w:lineRule="auto"/>
              <w:ind w:firstLine="0"/>
              <w:jc w:val="left"/>
            </w:pPr>
            <w:r/>
            <w:r>
              <w:rPr>
                <w:sz w:val="20"/>
              </w:rPr>
              <w:t>1.037 (1.036–1.038) на год</w:t>
            </w:r>
          </w:p>
        </w:tc>
        <w:tc>
          <w:tcPr>
            <w:tcW w:type="dxa" w:w="1802"/>
          </w:tcPr>
          <w:p>
            <w:pPr>
              <w:keepNext/>
              <w:spacing w:after="0" w:line="240" w:lineRule="auto"/>
              <w:ind w:firstLine="0"/>
              <w:jc w:val="left"/>
            </w:pPr>
            <w:r/>
            <w:r>
              <w:rPr>
                <w:sz w:val="20"/>
              </w:rPr>
              <w:t>Таблица 7</w:t>
            </w:r>
          </w:p>
        </w:tc>
        <w:tc>
          <w:tcPr>
            <w:tcW w:type="dxa" w:w="3406"/>
          </w:tcPr>
          <w:p>
            <w:pPr>
              <w:keepNext/>
              <w:spacing w:after="0" w:line="240" w:lineRule="auto"/>
              <w:ind w:firstLine="0"/>
              <w:jc w:val="left"/>
            </w:pPr>
            <w:r/>
            <w:r>
              <w:rPr>
                <w:sz w:val="20"/>
              </w:rPr>
              <w:t>Регистр; без поправки на функциональный статус и химиотерапию</w:t>
            </w:r>
          </w:p>
        </w:tc>
      </w:tr>
      <w:tr>
        <w:trPr>
          <w:cantSplit w:val="true"/>
        </w:trPr>
        <w:tc>
          <w:tcPr>
            <w:tcW w:type="dxa" w:w="2127"/>
          </w:tcPr>
          <w:p>
            <w:pPr>
              <w:keepNext/>
              <w:spacing w:after="0" w:line="240" w:lineRule="auto"/>
              <w:ind w:firstLine="0"/>
              <w:jc w:val="left"/>
            </w:pPr>
            <w:r/>
            <w:r>
              <w:rPr>
                <w:sz w:val="20"/>
              </w:rPr>
              <w:t>Dana-Farber [49]</w:t>
            </w:r>
          </w:p>
        </w:tc>
        <w:tc>
          <w:tcPr>
            <w:tcW w:type="dxa" w:w="1736"/>
          </w:tcPr>
          <w:p>
            <w:pPr>
              <w:keepNext/>
              <w:spacing w:after="0" w:line="240" w:lineRule="auto"/>
              <w:ind w:firstLine="0"/>
              <w:jc w:val="left"/>
            </w:pPr>
            <w:r/>
            <w:r>
              <w:rPr>
                <w:sz w:val="20"/>
              </w:rPr>
              <w:t>1.04 (1.03–1.05)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Западная Норвегия [50]</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IDH-мутантные случаи исключены по ВОЗ 2021</w:t>
            </w:r>
          </w:p>
        </w:tc>
      </w:tr>
      <w:tr>
        <w:trPr>
          <w:cantSplit w:val="true"/>
        </w:trPr>
        <w:tc>
          <w:tcPr>
            <w:tcW w:type="dxa" w:w="2127"/>
          </w:tcPr>
          <w:p>
            <w:pPr>
              <w:keepNext/>
              <w:spacing w:after="0" w:line="240" w:lineRule="auto"/>
              <w:ind w:firstLine="0"/>
              <w:jc w:val="left"/>
            </w:pPr>
            <w:r/>
            <w:r>
              <w:rPr>
                <w:sz w:val="20"/>
              </w:rPr>
              <w:t>RANO resect [51]</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Таблица 2</w:t>
            </w:r>
          </w:p>
        </w:tc>
        <w:tc>
          <w:tcPr>
            <w:tcW w:type="dxa" w:w="3406"/>
          </w:tcPr>
          <w:p>
            <w:pPr>
              <w:keepNext/>
              <w:spacing w:after="0" w:line="240" w:lineRule="auto"/>
              <w:ind w:firstLine="0"/>
              <w:jc w:val="left"/>
            </w:pPr>
            <w:r/>
            <w:r>
              <w:rPr>
                <w:sz w:val="20"/>
              </w:rPr>
              <w:t>Однофакторная; в многофакторной модели возраст старше 65 использован как категория</w:t>
            </w:r>
          </w:p>
        </w:tc>
      </w:tr>
      <w:tr>
        <w:trPr>
          <w:cantSplit w:val="true"/>
        </w:trPr>
        <w:tc>
          <w:tcPr>
            <w:tcW w:type="dxa" w:w="2127"/>
          </w:tcPr>
          <w:p>
            <w:pPr>
              <w:keepNext/>
              <w:spacing w:after="0" w:line="240" w:lineRule="auto"/>
              <w:ind w:firstLine="0"/>
              <w:jc w:val="left"/>
            </w:pPr>
            <w:r/>
            <w:r>
              <w:rPr>
                <w:sz w:val="20"/>
              </w:rPr>
              <w:t>Берген — Осло [52]</w:t>
            </w:r>
          </w:p>
        </w:tc>
        <w:tc>
          <w:tcPr>
            <w:tcW w:type="dxa" w:w="1736"/>
          </w:tcPr>
          <w:p>
            <w:pPr>
              <w:keepNext/>
              <w:spacing w:after="0" w:line="240" w:lineRule="auto"/>
              <w:ind w:firstLine="0"/>
              <w:jc w:val="left"/>
            </w:pPr>
            <w:r/>
            <w:r>
              <w:rPr>
                <w:sz w:val="20"/>
              </w:rPr>
              <w:t>1.34 (1.22–1.46) на 10 лет</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Однофакторная; пересчитано в 1.030 (1.020–1.039) на год</w:t>
            </w:r>
          </w:p>
        </w:tc>
      </w:tr>
      <w:tr>
        <w:trPr>
          <w:cantSplit w:val="true"/>
        </w:trPr>
        <w:tc>
          <w:tcPr>
            <w:tcW w:type="dxa" w:w="2127"/>
          </w:tcPr>
          <w:p>
            <w:pPr>
              <w:spacing w:after="0" w:line="240" w:lineRule="auto"/>
              <w:ind w:firstLine="0"/>
              <w:jc w:val="left"/>
            </w:pPr>
            <w:r/>
            <w:r>
              <w:rPr>
                <w:sz w:val="20"/>
              </w:rPr>
              <w:t>Регистр CGGA [53]</w:t>
            </w:r>
          </w:p>
        </w:tc>
        <w:tc>
          <w:tcPr>
            <w:tcW w:type="dxa" w:w="1736"/>
          </w:tcPr>
          <w:p>
            <w:pPr>
              <w:spacing w:after="0" w:line="240" w:lineRule="auto"/>
              <w:ind w:firstLine="0"/>
              <w:jc w:val="left"/>
            </w:pPr>
            <w:r/>
            <w:r>
              <w:rPr>
                <w:sz w:val="20"/>
              </w:rPr>
              <w:t>1.019 (1.002–1.036) на год</w:t>
            </w:r>
          </w:p>
        </w:tc>
        <w:tc>
          <w:tcPr>
            <w:tcW w:type="dxa" w:w="1802"/>
          </w:tcPr>
          <w:p>
            <w:pPr>
              <w:spacing w:after="0" w:line="240" w:lineRule="auto"/>
              <w:ind w:firstLine="0"/>
              <w:jc w:val="left"/>
            </w:pPr>
            <w:r/>
            <w:r>
              <w:rPr>
                <w:sz w:val="20"/>
              </w:rPr>
              <w:t>Таблица 2</w:t>
            </w:r>
          </w:p>
        </w:tc>
        <w:tc>
          <w:tcPr>
            <w:tcW w:type="dxa" w:w="3406"/>
          </w:tcPr>
          <w:p>
            <w:pPr>
              <w:spacing w:after="0" w:line="240" w:lineRule="auto"/>
              <w:ind w:firstLine="0"/>
              <w:jc w:val="left"/>
            </w:pPr>
            <w:r/>
            <w:r>
              <w:rPr>
                <w:sz w:val="20"/>
              </w:rPr>
              <w:t>Пересекается с нашей когортой CGGA; показана, не объединена</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