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3619500" cy="1628775"/>
            <wp:effectExtent t="0" r="0" b="0" l="0"/>
            <wp:docPr id="1" name="logo" descr="Logo de Kairos" title="Logo de Kai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628775"/>
                    </a:xfrm>
                    <a:prstGeom prst="rect">
                      <a:avLst/>
                    </a:prstGeom>
                  </pic:spPr>
                </pic:pic>
              </a:graphicData>
            </a:graphic>
          </wp:inline>
        </w:drawing>
      </w:r>
    </w:p>
    <w:p>
      <w:pPr>
        <w:spacing w:before="600"/>
        <w:jc w:val="center"/>
      </w:pPr>
      <w:r>
        <w:rPr>
          <w:rFonts w:ascii="Arial" w:cs="Arial" w:eastAsia="Arial" w:hAnsi="Arial"/>
          <w:b/>
          <w:bCs/>
          <w:color w:val="6C4EF5"/>
          <w:sz w:val="26"/>
          <w:szCs w:val="26"/>
        </w:rPr>
        <w:t xml:space="preserve">INFORME FINAL DEL PROYECTO</w:t>
      </w:r>
    </w:p>
    <w:p>
      <w:pPr>
        <w:spacing w:after="120" w:before="120"/>
        <w:jc w:val="center"/>
      </w:pPr>
      <w:r>
        <w:rPr>
          <w:rFonts w:ascii="Arial" w:cs="Arial" w:eastAsia="Arial" w:hAnsi="Arial"/>
          <w:b/>
          <w:bCs/>
          <w:color w:val="2B2440"/>
          <w:sz w:val="64"/>
          <w:szCs w:val="64"/>
        </w:rPr>
        <w:t xml:space="preserve">NuevaMente</w:t>
      </w:r>
    </w:p>
    <w:p>
      <w:pPr>
        <w:jc w:val="center"/>
      </w:pPr>
      <w:r>
        <w:rPr>
          <w:rFonts w:ascii="Arial" w:cs="Arial" w:eastAsia="Arial" w:hAnsi="Arial"/>
          <w:color w:val="6E6480"/>
          <w:sz w:val="24"/>
          <w:szCs w:val="24"/>
        </w:rPr>
        <w:t xml:space="preserve">Sistema Inteligente de Adaptación y Generación de Contenido Educativo</w:t>
      </w:r>
    </w:p>
    <w:p>
      <w:pPr>
        <w:spacing w:after="80" w:before="900"/>
        <w:jc w:val="center"/>
      </w:pPr>
      <w:r>
        <w:rPr>
          <w:rFonts w:ascii="Arial" w:cs="Arial" w:eastAsia="Arial" w:hAnsi="Arial"/>
          <w:b/>
          <w:bCs/>
          <w:sz w:val="20"/>
          <w:szCs w:val="20"/>
        </w:rPr>
        <w:t xml:space="preserve">Equipo Kairos G10 · G10-LATAM-equipo 41 · Plataforma de aprendizaje empresarial</w:t>
      </w:r>
    </w:p>
    <w:p>
      <w:pPr>
        <w:spacing w:after="80"/>
        <w:jc w:val="center"/>
      </w:pPr>
      <w:r>
        <w:rPr>
          <w:rFonts w:ascii="Arial" w:cs="Arial" w:eastAsia="Arial" w:hAnsi="Arial"/>
          <w:sz w:val="20"/>
          <w:szCs w:val="20"/>
        </w:rPr>
        <w:t xml:space="preserve">Hackathon ONE G10 (Oracle Next Education y Alura) · Proyecto 1</w:t>
      </w:r>
    </w:p>
    <w:p>
      <w:pPr>
        <w:jc w:val="center"/>
      </w:pPr>
      <w:r>
        <w:rPr>
          <w:rFonts w:ascii="Arial" w:cs="Arial" w:eastAsia="Arial" w:hAnsi="Arial"/>
          <w:sz w:val="20"/>
          <w:szCs w:val="20"/>
        </w:rPr>
        <w:t xml:space="preserve">Sprints 1 a 5 · 21 de septiembre al 27 de octubre de 2026 · Versión 1.5</w:t>
      </w:r>
    </w:p>
    <w:p>
      <w:pPr>
        <w:spacing w:before="1200"/>
        <w:jc w:val="center"/>
      </w:pPr>
      <w:r>
        <w:rPr>
          <w:rFonts w:ascii="Arial" w:cs="Arial" w:eastAsia="Arial" w:hAnsi="Arial"/>
          <w:color w:val="6E6480"/>
          <w:sz w:val="20"/>
          <w:szCs w:val="20"/>
        </w:rPr>
        <w:t xml:space="preserve">Elaborado por: Juan Pablo Calla, Project Manager · 27 de octubre de 2026</w:t>
      </w:r>
    </w:p>
    <w:p>
      <w:r>
        <w:br w:type="page"/>
      </w:r>
    </w:p>
    <w:p>
      <w:pPr>
        <w:pStyle w:val="Heading1"/>
        <w:spacing w:after="140" w:before="300"/>
      </w:pPr>
      <w:r>
        <w:rPr>
          <w:rFonts w:ascii="Arial" w:cs="Arial" w:eastAsia="Arial" w:hAnsi="Arial"/>
          <w:b/>
          <w:bCs/>
          <w:color w:val="6C4EF5"/>
          <w:sz w:val="28"/>
          <w:szCs w:val="28"/>
        </w:rPr>
        <w:t xml:space="preserve">1. Datos generales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Proyecto</w:t>
            </w:r>
          </w:p>
        </w:tc>
        <w:tc>
          <w:tcPr>
            <w:tcW w:type="dxa" w:w="7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NuevaMente — Hackathon ONE G10, Proyecto 1</w:t>
            </w:r>
          </w:p>
        </w:tc>
      </w:tr>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Equipo</w:t>
            </w:r>
          </w:p>
        </w:tc>
        <w:tc>
          <w:tcPr>
            <w:tcW w:type="dxa" w:w="7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Kairos G10 (G10-LATAM-equipo 41)</w:t>
            </w:r>
          </w:p>
        </w:tc>
      </w:tr>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Periodo</w:t>
            </w:r>
          </w:p>
        </w:tc>
        <w:tc>
          <w:tcPr>
            <w:tcW w:type="dxa" w:w="7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5 sprints semanales, del 21 de septiembre al 25 de octubre de 2026, y Demo Day el 27 de octubre</w:t>
            </w:r>
          </w:p>
        </w:tc>
      </w:tr>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Project Manager</w:t>
            </w:r>
          </w:p>
        </w:tc>
        <w:tc>
          <w:tcPr>
            <w:tcW w:type="dxa" w:w="7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Juan Pablo Calla</w:t>
            </w:r>
          </w:p>
        </w:tc>
      </w:tr>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Versión final</w:t>
            </w:r>
          </w:p>
        </w:tc>
        <w:tc>
          <w:tcPr>
            <w:tcW w:type="dxa" w:w="7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1.5 (rama main, en línea en Render)</w:t>
            </w:r>
          </w:p>
        </w:tc>
      </w:tr>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Objetivo</w:t>
            </w:r>
          </w:p>
        </w:tc>
        <w:tc>
          <w:tcPr>
            <w:tcW w:type="dxa" w:w="7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Convertir un documento técnico en material de estudio personalizado y verificado contra la fuente, para capacitar a equipos de cualquier sector.</w:t>
            </w:r>
          </w:p>
        </w:tc>
      </w:tr>
      <w:tr>
        <w:tc>
          <w:tcPr>
            <w:tcW w:type="dxa" w:w="2200"/>
            <w:tcBorders>
              <w:top w:val="single" w:color="000000" w:sz="4"/>
              <w:left w:val="single" w:color="000000" w:sz="4"/>
              <w:bottom w:val="single" w:color="000000" w:sz="4"/>
              <w:right w:val="single" w:color="000000" w:sz="4"/>
            </w:tcBorders>
            <w:shd w:fill="EFEAFF" w:color="auto" w:val="clear"/>
            <w:tcMar>
              <w:top w:type="dxa" w:w="50"/>
              <w:left w:type="dxa" w:w="90"/>
              <w:bottom w:type="dxa" w:w="50"/>
              <w:right w:type="dxa" w:w="90"/>
            </w:tcMar>
          </w:tcPr>
          <w:p>
            <w:r>
              <w:rPr>
                <w:rFonts w:ascii="Arial" w:cs="Arial" w:eastAsia="Arial" w:hAnsi="Arial"/>
                <w:b/>
                <w:bCs/>
                <w:sz w:val="19"/>
                <w:szCs w:val="19"/>
              </w:rPr>
              <w:t xml:space="preserve">Estado general</w:t>
            </w:r>
          </w:p>
        </w:tc>
        <w:tc>
          <w:tcPr>
            <w:tcW w:type="dxa" w:w="7438"/>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Verde</w:t>
            </w:r>
          </w:p>
        </w:tc>
      </w:tr>
    </w:tbl>
    <w:p>
      <w:pPr>
        <w:pStyle w:val="Heading1"/>
        <w:spacing w:after="140" w:before="300"/>
      </w:pPr>
      <w:r>
        <w:rPr>
          <w:rFonts w:ascii="Arial" w:cs="Arial" w:eastAsia="Arial" w:hAnsi="Arial"/>
          <w:b/>
          <w:bCs/>
          <w:color w:val="6C4EF5"/>
          <w:sz w:val="28"/>
          <w:szCs w:val="28"/>
        </w:rPr>
        <w:t xml:space="preserve">2. Resumen ejecutivo</w:t>
      </w:r>
    </w:p>
    <w:p>
      <w:pPr>
        <w:spacing w:after="120" w:line="276"/>
      </w:pPr>
      <w:r>
        <w:rPr>
          <w:rFonts w:ascii="Arial" w:cs="Arial" w:eastAsia="Arial" w:hAnsi="Arial"/>
          <w:sz w:val="21"/>
          <w:szCs w:val="21"/>
        </w:rPr>
        <w:t xml:space="preserve">NuevaMente es una plataforma de aprendizaje empresarial que recibe un documento técnico (PDF, Word, Markdown o texto) y lo convierte en material de estudio adaptado a quien lo va a usar: tutoriales, flashcards, quizzes, resúmenes ejecutivos, guiones de clase con video narrado y podcasts. Cada afirmación del material se compara con el documento original y recibe un puntaje de fidelidad, para que nada de lo que se enseña sea inventado.</w:t>
      </w:r>
    </w:p>
    <w:p>
      <w:pPr>
        <w:spacing w:after="120" w:line="276"/>
      </w:pPr>
      <w:r>
        <w:rPr>
          <w:rFonts w:ascii="Arial" w:cs="Arial" w:eastAsia="Arial" w:hAnsi="Arial"/>
          <w:sz w:val="21"/>
          <w:szCs w:val="21"/>
        </w:rPr>
        <w:t xml:space="preserve">En cinco sprints el equipo pasó de un MVP de punta a punta a una aplicación completa y desplegada. El sistema trabaja con 4 perfiles de destinatario, 6 formatos pedagógicos, 5 sectores y 3 niveles de detalle, y exporta a 7 formatos. Guarda el documento original y el material generado en OCI Object Storage, con respaldo local si la nube no responde, y está en línea en Render.</w:t>
      </w:r>
    </w:p>
    <w:p>
      <w:pPr>
        <w:spacing w:after="120" w:line="276"/>
      </w:pPr>
      <w:r>
        <w:rPr>
          <w:rFonts w:ascii="Arial" w:cs="Arial" w:eastAsia="Arial" w:hAnsi="Arial"/>
          <w:sz w:val="21"/>
          <w:szCs w:val="21"/>
        </w:rPr>
        <w:t xml:space="preserve">El proyecto cierra con 101 historias de usuario hechas en 15 épicas, 317 pruebas automatizadas que pasan, 17 de los 18 puntos de la rúbrica del hackathon y una fidelidad de 1,00 en la demo final con un documento real de normas de conducta. El código queda congelado en la rama main, sin pull requests abiertos ni historias pendientes.</w:t>
      </w:r>
    </w:p>
    <w:p>
      <w:pPr>
        <w:pStyle w:val="Heading1"/>
        <w:spacing w:after="140" w:before="300"/>
      </w:pPr>
      <w:r>
        <w:rPr>
          <w:rFonts w:ascii="Arial" w:cs="Arial" w:eastAsia="Arial" w:hAnsi="Arial"/>
          <w:b/>
          <w:bCs/>
          <w:color w:val="6C4EF5"/>
          <w:sz w:val="28"/>
          <w:szCs w:val="28"/>
        </w:rPr>
        <w:t xml:space="preserve">3. Problema y solución</w:t>
      </w:r>
    </w:p>
    <w:p>
      <w:pPr>
        <w:pStyle w:val="Heading2"/>
        <w:spacing w:after="80" w:before="180"/>
      </w:pPr>
      <w:r>
        <w:rPr>
          <w:rFonts w:ascii="Arial" w:cs="Arial" w:eastAsia="Arial" w:hAnsi="Arial"/>
          <w:b/>
          <w:bCs/>
          <w:color w:val="2B2440"/>
          <w:sz w:val="22"/>
          <w:szCs w:val="22"/>
        </w:rPr>
        <w:t xml:space="preserve">El problema</w:t>
      </w:r>
    </w:p>
    <w:p>
      <w:pPr>
        <w:spacing w:after="120" w:line="276"/>
      </w:pPr>
      <w:r>
        <w:rPr>
          <w:rFonts w:ascii="Arial" w:cs="Arial" w:eastAsia="Arial" w:hAnsi="Arial"/>
          <w:sz w:val="21"/>
          <w:szCs w:val="21"/>
        </w:rPr>
        <w:t xml:space="preserve">Las empresas tienen manuales, protocolos y normas que sus equipos deben aprender, pero esos documentos no están pensados para enseñar. Convertirlos en material de capacitación lleva tiempo, y cuando se hace con IA aparece otro riesgo: que el material incluya datos que el documento no dice. En sectores como Salud, ese error puede tener consecuencias graves.</w:t>
      </w:r>
    </w:p>
    <w:p>
      <w:pPr>
        <w:pStyle w:val="Heading2"/>
        <w:spacing w:after="80" w:before="180"/>
      </w:pPr>
      <w:r>
        <w:rPr>
          <w:rFonts w:ascii="Arial" w:cs="Arial" w:eastAsia="Arial" w:hAnsi="Arial"/>
          <w:b/>
          <w:bCs/>
          <w:color w:val="2B2440"/>
          <w:sz w:val="22"/>
          <w:szCs w:val="22"/>
        </w:rPr>
        <w:t xml:space="preserve">La solución</w:t>
      </w:r>
    </w:p>
    <w:p>
      <w:pPr>
        <w:pStyle w:val="ListParagraph"/>
        <w:numPr>
          <w:ilvl w:val="0"/>
          <w:numId w:val="2"/>
        </w:numPr>
        <w:spacing w:after="60"/>
      </w:pPr>
      <w:r>
        <w:rPr>
          <w:rFonts w:ascii="Arial" w:cs="Arial" w:eastAsia="Arial" w:hAnsi="Arial"/>
          <w:sz w:val="21"/>
          <w:szCs w:val="21"/>
        </w:rPr>
        <w:t xml:space="preserve">Adaptación al destinatario: el mismo documento produce material distinto para un principiante, un desarrollador, un líder técnico o un gestor.</w:t>
      </w:r>
    </w:p>
    <w:p>
      <w:pPr>
        <w:pStyle w:val="ListParagraph"/>
        <w:numPr>
          <w:ilvl w:val="0"/>
          <w:numId w:val="2"/>
        </w:numPr>
        <w:spacing w:after="60"/>
      </w:pPr>
      <w:r>
        <w:rPr>
          <w:rFonts w:ascii="Arial" w:cs="Arial" w:eastAsia="Arial" w:hAnsi="Arial"/>
          <w:sz w:val="21"/>
          <w:szCs w:val="21"/>
        </w:rPr>
        <w:t xml:space="preserve">Formatos para aprender: tutorial, flashcards, quiz con puntuación, resumen ejecutivo, guion de clase con video narrado y podcast de dos voces.</w:t>
      </w:r>
    </w:p>
    <w:p>
      <w:pPr>
        <w:pStyle w:val="ListParagraph"/>
        <w:numPr>
          <w:ilvl w:val="0"/>
          <w:numId w:val="2"/>
        </w:numPr>
        <w:spacing w:after="60"/>
      </w:pPr>
      <w:r>
        <w:rPr>
          <w:rFonts w:ascii="Arial" w:cs="Arial" w:eastAsia="Arial" w:hAnsi="Arial"/>
          <w:sz w:val="21"/>
          <w:szCs w:val="21"/>
        </w:rPr>
        <w:t xml:space="preserve">Verificación de fidelidad: cada afirmación se contrasta con el documento; un juez de IA exige citas textuales. El umbral es 0,85, y 0,90 en Salud.</w:t>
      </w:r>
    </w:p>
    <w:p>
      <w:pPr>
        <w:pStyle w:val="ListParagraph"/>
        <w:numPr>
          <w:ilvl w:val="0"/>
          <w:numId w:val="2"/>
        </w:numPr>
        <w:spacing w:after="60"/>
      </w:pPr>
      <w:r>
        <w:rPr>
          <w:rFonts w:ascii="Arial" w:cs="Arial" w:eastAsia="Arial" w:hAnsi="Arial"/>
          <w:sz w:val="21"/>
          <w:szCs w:val="21"/>
        </w:rPr>
        <w:t xml:space="preserve">Uso multisector: General, Salud, Fintech, E-commerce y Tecnología, con avisos de uso responsable en Salud.</w:t>
      </w:r>
    </w:p>
    <w:p>
      <w:pPr>
        <w:pStyle w:val="Heading1"/>
        <w:spacing w:after="140" w:before="300"/>
      </w:pPr>
      <w:r>
        <w:rPr>
          <w:rFonts w:ascii="Arial" w:cs="Arial" w:eastAsia="Arial" w:hAnsi="Arial"/>
          <w:b/>
          <w:bCs/>
          <w:color w:val="6C4EF5"/>
          <w:sz w:val="28"/>
          <w:szCs w:val="28"/>
        </w:rPr>
        <w:t xml:space="preserve">4. Arquitectura y tecnologías</w:t>
      </w:r>
    </w:p>
    <w:p>
      <w:pPr>
        <w:spacing w:after="120" w:line="276"/>
      </w:pPr>
      <w:r>
        <w:rPr>
          <w:rFonts w:ascii="Arial" w:cs="Arial" w:eastAsia="Arial" w:hAnsi="Arial"/>
          <w:sz w:val="21"/>
          <w:szCs w:val="21"/>
        </w:rPr>
        <w:t xml:space="preserve">El documento pasa por un grafo de agentes: el Planificador decide qué cubrir, el Investigador recupera la evidencia de cada sección (RAG), el Redactor genera el material y el Crítico lo verifica; si la fidelidad no alcanza el umbral, el material vuelve al Redactor con observaciones.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Componente</w:t>
            </w:r>
          </w:p>
        </w:tc>
        <w:tc>
          <w:tcPr>
            <w:tcW w:type="dxa" w:w="70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Tecnología</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Lenguaje y API</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Python 3.10+, FastAPI y Pydantic (validación estricta del JSON)</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Orquestación de agentes</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LangGraph: Planificador → Investigador → caché → Redactor → Crítico, con reintento</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Recuperación de evidencia (RAG)</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Chunking con solapamiento, embeddings de Gemini con TF-IDF local de respaldo y ChromaDB opcional</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Modelos de lenguaje</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Cadena de proveedores gratuitos: Gemini, Groq, Cerebras y OpenRouter; Cohere y OpenAI opcionales</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Fidelidad</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Verificador por afirmación y juez de IA con citas textuales</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Voz</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Gemini TTS, OpenAI TTS, Edge TTS (gratuito) y voces del sistema</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Video y audio</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ffmpeg: video MP4 narrado del guion y podcast MP3</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Almacenamiento</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OCI Object Storage (capa Always Free) con respaldo local</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Interfaz</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Web propia servida por la API, modo claro y oscuro, historial y estadísticas</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Despliegue</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Render (también Docker, y scripts para OCI Compute)</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Calidad</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pytest (317 pruebas), revisión de secretos y GitHub Actions</w:t>
            </w:r>
          </w:p>
        </w:tc>
      </w:tr>
    </w:tbl>
    <w:p>
      <w:pPr>
        <w:pStyle w:val="Heading1"/>
        <w:spacing w:after="140" w:before="300"/>
      </w:pPr>
      <w:r>
        <w:rPr>
          <w:rFonts w:ascii="Arial" w:cs="Arial" w:eastAsia="Arial" w:hAnsi="Arial"/>
          <w:b/>
          <w:bCs/>
          <w:color w:val="6C4EF5"/>
          <w:sz w:val="28"/>
          <w:szCs w:val="28"/>
        </w:rPr>
        <w:t xml:space="preserve">5. Funcionalidades entregadas</w:t>
      </w:r>
    </w:p>
    <w:p>
      <w:pPr>
        <w:pStyle w:val="Heading2"/>
        <w:spacing w:after="80" w:before="180"/>
      </w:pPr>
      <w:r>
        <w:rPr>
          <w:rFonts w:ascii="Arial" w:cs="Arial" w:eastAsia="Arial" w:hAnsi="Arial"/>
          <w:b/>
          <w:bCs/>
          <w:color w:val="2B2440"/>
          <w:sz w:val="22"/>
          <w:szCs w:val="22"/>
        </w:rPr>
        <w:t xml:space="preserve">Ingesta de documentos</w:t>
      </w:r>
    </w:p>
    <w:p>
      <w:pPr>
        <w:pStyle w:val="ListParagraph"/>
        <w:numPr>
          <w:ilvl w:val="0"/>
          <w:numId w:val="2"/>
        </w:numPr>
        <w:spacing w:after="60"/>
      </w:pPr>
      <w:r>
        <w:rPr>
          <w:rFonts w:ascii="Arial" w:cs="Arial" w:eastAsia="Arial" w:hAnsi="Arial"/>
          <w:sz w:val="21"/>
          <w:szCs w:val="21"/>
        </w:rPr>
        <w:t xml:space="preserve">Texto pegado, PDF, Word, Markdown y TXT, con límite de tamaño y aviso si el archivo no es válido.</w:t>
      </w:r>
    </w:p>
    <w:p>
      <w:pPr>
        <w:pStyle w:val="ListParagraph"/>
        <w:numPr>
          <w:ilvl w:val="0"/>
          <w:numId w:val="2"/>
        </w:numPr>
        <w:spacing w:after="60"/>
      </w:pPr>
      <w:r>
        <w:rPr>
          <w:rFonts w:ascii="Arial" w:cs="Arial" w:eastAsia="Arial" w:hAnsi="Arial"/>
          <w:sz w:val="21"/>
          <w:szCs w:val="21"/>
        </w:rPr>
        <w:t xml:space="preserve">Detección de títulos y secciones, incluidos títulos numerados («1. Acceso», «1 - Objetivos») y OCR de PDF escaneados.</w:t>
      </w:r>
    </w:p>
    <w:p>
      <w:pPr>
        <w:pStyle w:val="Heading2"/>
        <w:spacing w:after="80" w:before="180"/>
      </w:pPr>
      <w:r>
        <w:rPr>
          <w:rFonts w:ascii="Arial" w:cs="Arial" w:eastAsia="Arial" w:hAnsi="Arial"/>
          <w:b/>
          <w:bCs/>
          <w:color w:val="2B2440"/>
          <w:sz w:val="22"/>
          <w:szCs w:val="22"/>
        </w:rPr>
        <w:t xml:space="preserve">Generación y verificación</w:t>
      </w:r>
    </w:p>
    <w:p>
      <w:pPr>
        <w:pStyle w:val="ListParagraph"/>
        <w:numPr>
          <w:ilvl w:val="0"/>
          <w:numId w:val="2"/>
        </w:numPr>
        <w:spacing w:after="60"/>
      </w:pPr>
      <w:r>
        <w:rPr>
          <w:rFonts w:ascii="Arial" w:cs="Arial" w:eastAsia="Arial" w:hAnsi="Arial"/>
          <w:sz w:val="21"/>
          <w:szCs w:val="21"/>
        </w:rPr>
        <w:t xml:space="preserve">4 perfiles, 6 formatos, 5 sectores y 3 niveles de detalle (Conciso, Didáctico y Profundo).</w:t>
      </w:r>
    </w:p>
    <w:p>
      <w:pPr>
        <w:pStyle w:val="ListParagraph"/>
        <w:numPr>
          <w:ilvl w:val="0"/>
          <w:numId w:val="2"/>
        </w:numPr>
        <w:spacing w:after="60"/>
      </w:pPr>
      <w:r>
        <w:rPr>
          <w:rFonts w:ascii="Arial" w:cs="Arial" w:eastAsia="Arial" w:hAnsi="Arial"/>
          <w:sz w:val="21"/>
          <w:szCs w:val="21"/>
        </w:rPr>
        <w:t xml:space="preserve">Conceptos clave, prerrequisitos, quiz con respuesta repartida y puntuación, y resumen con riesgos y recomendaciones.</w:t>
      </w:r>
    </w:p>
    <w:p>
      <w:pPr>
        <w:pStyle w:val="ListParagraph"/>
        <w:numPr>
          <w:ilvl w:val="0"/>
          <w:numId w:val="2"/>
        </w:numPr>
        <w:spacing w:after="60"/>
      </w:pPr>
      <w:r>
        <w:rPr>
          <w:rFonts w:ascii="Arial" w:cs="Arial" w:eastAsia="Arial" w:hAnsi="Arial"/>
          <w:sz w:val="21"/>
          <w:szCs w:val="21"/>
        </w:rPr>
        <w:t xml:space="preserve">Puntaje de fidelidad por afirmación y juez de IA; caché de material aprobado para ahorrar cuota.</w:t>
      </w:r>
    </w:p>
    <w:p>
      <w:pPr>
        <w:pStyle w:val="Heading2"/>
        <w:spacing w:after="80" w:before="180"/>
      </w:pPr>
      <w:r>
        <w:rPr>
          <w:rFonts w:ascii="Arial" w:cs="Arial" w:eastAsia="Arial" w:hAnsi="Arial"/>
          <w:b/>
          <w:bCs/>
          <w:color w:val="2B2440"/>
          <w:sz w:val="22"/>
          <w:szCs w:val="22"/>
        </w:rPr>
        <w:t xml:space="preserve">Multimedia y exportación</w:t>
      </w:r>
    </w:p>
    <w:p>
      <w:pPr>
        <w:pStyle w:val="ListParagraph"/>
        <w:numPr>
          <w:ilvl w:val="0"/>
          <w:numId w:val="2"/>
        </w:numPr>
        <w:spacing w:after="60"/>
      </w:pPr>
      <w:r>
        <w:rPr>
          <w:rFonts w:ascii="Arial" w:cs="Arial" w:eastAsia="Arial" w:hAnsi="Arial"/>
          <w:sz w:val="21"/>
          <w:szCs w:val="21"/>
        </w:rPr>
        <w:t xml:space="preserve">Video narrado del guion de clase, con voz femenina o masculina, sin ruido entre diapositivas y con botón Cancelar.</w:t>
      </w:r>
    </w:p>
    <w:p>
      <w:pPr>
        <w:pStyle w:val="ListParagraph"/>
        <w:numPr>
          <w:ilvl w:val="0"/>
          <w:numId w:val="2"/>
        </w:numPr>
        <w:spacing w:after="60"/>
      </w:pPr>
      <w:r>
        <w:rPr>
          <w:rFonts w:ascii="Arial" w:cs="Arial" w:eastAsia="Arial" w:hAnsi="Arial"/>
          <w:sz w:val="21"/>
          <w:szCs w:val="21"/>
        </w:rPr>
        <w:t xml:space="preserve">Podcast con dos locutores (Ana y Leo).</w:t>
      </w:r>
    </w:p>
    <w:p>
      <w:pPr>
        <w:pStyle w:val="ListParagraph"/>
        <w:numPr>
          <w:ilvl w:val="0"/>
          <w:numId w:val="2"/>
        </w:numPr>
        <w:spacing w:after="60"/>
      </w:pPr>
      <w:r>
        <w:rPr>
          <w:rFonts w:ascii="Arial" w:cs="Arial" w:eastAsia="Arial" w:hAnsi="Arial"/>
          <w:sz w:val="21"/>
          <w:szCs w:val="21"/>
        </w:rPr>
        <w:t xml:space="preserve">Exportación a Markdown, Anki, Word, PDF, PowerPoint, video MP4 y podcast MP3.</w:t>
      </w:r>
    </w:p>
    <w:p>
      <w:pPr>
        <w:pStyle w:val="Heading2"/>
        <w:spacing w:after="80" w:before="180"/>
      </w:pPr>
      <w:r>
        <w:rPr>
          <w:rFonts w:ascii="Arial" w:cs="Arial" w:eastAsia="Arial" w:hAnsi="Arial"/>
          <w:b/>
          <w:bCs/>
          <w:color w:val="2B2440"/>
          <w:sz w:val="22"/>
          <w:szCs w:val="22"/>
        </w:rPr>
        <w:t xml:space="preserve">Plataforma</w:t>
      </w:r>
    </w:p>
    <w:p>
      <w:pPr>
        <w:pStyle w:val="ListParagraph"/>
        <w:numPr>
          <w:ilvl w:val="0"/>
          <w:numId w:val="2"/>
        </w:numPr>
        <w:spacing w:after="60"/>
      </w:pPr>
      <w:r>
        <w:rPr>
          <w:rFonts w:ascii="Arial" w:cs="Arial" w:eastAsia="Arial" w:hAnsi="Arial"/>
          <w:sz w:val="21"/>
          <w:szCs w:val="21"/>
        </w:rPr>
        <w:t xml:space="preserve">API REST documentada en /docs, con la solicitud exacta del enunciado.</w:t>
      </w:r>
    </w:p>
    <w:p>
      <w:pPr>
        <w:pStyle w:val="ListParagraph"/>
        <w:numPr>
          <w:ilvl w:val="0"/>
          <w:numId w:val="2"/>
        </w:numPr>
        <w:spacing w:after="60"/>
      </w:pPr>
      <w:r>
        <w:rPr>
          <w:rFonts w:ascii="Arial" w:cs="Arial" w:eastAsia="Arial" w:hAnsi="Arial"/>
          <w:sz w:val="21"/>
          <w:szCs w:val="21"/>
        </w:rPr>
        <w:t xml:space="preserve">Interfaz web con historial, buscador, atajos de teclado, aviso legal obligatorio, calificación del material y panel de estadísticas.</w:t>
      </w:r>
    </w:p>
    <w:p>
      <w:pPr>
        <w:pStyle w:val="ListParagraph"/>
        <w:numPr>
          <w:ilvl w:val="0"/>
          <w:numId w:val="2"/>
        </w:numPr>
        <w:spacing w:after="60"/>
      </w:pPr>
      <w:r>
        <w:rPr>
          <w:rFonts w:ascii="Arial" w:cs="Arial" w:eastAsia="Arial" w:hAnsi="Arial"/>
          <w:sz w:val="21"/>
          <w:szCs w:val="21"/>
        </w:rPr>
        <w:t xml:space="preserve">Persistencia en OCI Object Storage con respaldo local visible, y despliegue en Render.</w:t>
      </w:r>
    </w:p>
    <w:p>
      <w:pPr>
        <w:pStyle w:val="Heading1"/>
        <w:spacing w:after="140" w:before="300"/>
      </w:pPr>
      <w:r>
        <w:rPr>
          <w:rFonts w:ascii="Arial" w:cs="Arial" w:eastAsia="Arial" w:hAnsi="Arial"/>
          <w:b/>
          <w:bCs/>
          <w:color w:val="6C4EF5"/>
          <w:sz w:val="28"/>
          <w:szCs w:val="28"/>
        </w:rPr>
        <w:t xml:space="preserve">6. Evolución por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700"/>
        <w:gridCol w:w="1100"/>
        <w:gridCol w:w="1038"/>
      </w:tblGrid>
      <w:tr>
        <w:trPr>
          <w:tblHeader/>
        </w:trPr>
        <w:tc>
          <w:tcPr>
            <w:tcW w:type="dxa" w:w="11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Sprint</w:t>
            </w:r>
          </w:p>
        </w:tc>
        <w:tc>
          <w:tcPr>
            <w:tcW w:type="dxa" w:w="17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Fechas</w:t>
            </w:r>
          </w:p>
        </w:tc>
        <w:tc>
          <w:tcPr>
            <w:tcW w:type="dxa" w:w="47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Logros principales</w:t>
            </w:r>
          </w:p>
        </w:tc>
        <w:tc>
          <w:tcPr>
            <w:tcW w:type="dxa" w:w="11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Pruebas</w:t>
            </w:r>
          </w:p>
        </w:tc>
        <w:tc>
          <w:tcPr>
            <w:tcW w:type="dxa" w:w="10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Estado</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Sprint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21 al 27 sep</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MVP de punta a punta: ingesta, RAG, agentes, fidelidad, API, interfaz y 5 formatos. Demo de 3 escenarios en Salud (fidelidad 0,94, 1,00 y 1,00).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69</w:t>
            </w:r>
          </w:p>
        </w:tc>
        <w:tc>
          <w:tcPr>
            <w:tcW w:type="dxa" w:w="1038"/>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Verde</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Sprint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28 sep al 4 oct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Material por secciones, sin duplicados; formato Podcast; barra de progreso; 89 historias de usuario documentadas; trabajo por ramas.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72</w:t>
            </w:r>
          </w:p>
        </w:tc>
        <w:tc>
          <w:tcPr>
            <w:tcW w:type="dxa" w:w="1038"/>
            <w:tcBorders>
              <w:top w:val="single" w:color="000000" w:sz="4"/>
              <w:left w:val="single" w:color="000000" w:sz="4"/>
              <w:bottom w:val="single" w:color="000000" w:sz="4"/>
              <w:right w:val="single" w:color="000000" w:sz="4"/>
            </w:tcBorders>
            <w:shd w:fill="FFF4D4" w:color="auto" w:val="clear"/>
            <w:tcMar>
              <w:top w:type="dxa" w:w="50"/>
              <w:left w:type="dxa" w:w="90"/>
              <w:bottom w:type="dxa" w:w="50"/>
              <w:right w:type="dxa" w:w="90"/>
            </w:tcMar>
          </w:tcPr>
          <w:p>
            <w:r>
              <w:rPr>
                <w:rFonts w:ascii="Arial" w:cs="Arial" w:eastAsia="Arial" w:hAnsi="Arial"/>
                <w:b/>
                <w:bCs/>
                <w:sz w:val="19"/>
                <w:szCs w:val="19"/>
              </w:rPr>
              <w:t xml:space="preserve">Ámbar</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Sprint 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5 al 11 oct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Contrato JSON exacto del enunciado, exportación a Word, aviso legal, sector Tecnología, quiz y resumen mejorados, caché de material.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175</w:t>
            </w:r>
          </w:p>
        </w:tc>
        <w:tc>
          <w:tcPr>
            <w:tcW w:type="dxa" w:w="1038"/>
            <w:tcBorders>
              <w:top w:val="single" w:color="000000" w:sz="4"/>
              <w:left w:val="single" w:color="000000" w:sz="4"/>
              <w:bottom w:val="single" w:color="000000" w:sz="4"/>
              <w:right w:val="single" w:color="000000" w:sz="4"/>
            </w:tcBorders>
            <w:shd w:fill="FFF4D4" w:color="auto" w:val="clear"/>
            <w:tcMar>
              <w:top w:type="dxa" w:w="50"/>
              <w:left w:type="dxa" w:w="90"/>
              <w:bottom w:type="dxa" w:w="50"/>
              <w:right w:type="dxa" w:w="90"/>
            </w:tcMar>
          </w:tcPr>
          <w:p>
            <w:r>
              <w:rPr>
                <w:rFonts w:ascii="Arial" w:cs="Arial" w:eastAsia="Arial" w:hAnsi="Arial"/>
                <w:b/>
                <w:bCs/>
                <w:sz w:val="19"/>
                <w:szCs w:val="19"/>
              </w:rPr>
              <w:t xml:space="preserve">Ámbar</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Sprint 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12 al 18 oct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Embeddings, LangGraph, juez de IA, OCR, PDF, estadísticas, despliegue en Render, video en 9 s de CPU, cadena de proveedores de IA.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270</w:t>
            </w:r>
          </w:p>
        </w:tc>
        <w:tc>
          <w:tcPr>
            <w:tcW w:type="dxa" w:w="1038"/>
            <w:tcBorders>
              <w:top w:val="single" w:color="000000" w:sz="4"/>
              <w:left w:val="single" w:color="000000" w:sz="4"/>
              <w:bottom w:val="single" w:color="000000" w:sz="4"/>
              <w:right w:val="single" w:color="000000" w:sz="4"/>
            </w:tcBorders>
            <w:shd w:fill="FFF4D4" w:color="auto" w:val="clear"/>
            <w:tcMar>
              <w:top w:type="dxa" w:w="50"/>
              <w:left w:type="dxa" w:w="90"/>
              <w:bottom w:type="dxa" w:w="50"/>
              <w:right w:type="dxa" w:w="90"/>
            </w:tcMar>
          </w:tcPr>
          <w:p>
            <w:r>
              <w:rPr>
                <w:rFonts w:ascii="Arial" w:cs="Arial" w:eastAsia="Arial" w:hAnsi="Arial"/>
                <w:b/>
                <w:bCs/>
                <w:sz w:val="19"/>
                <w:szCs w:val="19"/>
              </w:rPr>
              <w:t xml:space="preserve">Ámbar</w:t>
            </w:r>
          </w:p>
        </w:tc>
      </w:tr>
      <w:t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Sprint 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19 al 25 oct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OCI Object Storage activo, versión 1.5, botón Cancelar, audio del video sin ruido, voz de respaldo gratuita, logo, historias v3 y cierre.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317</w:t>
            </w:r>
          </w:p>
        </w:tc>
        <w:tc>
          <w:tcPr>
            <w:tcW w:type="dxa" w:w="1038"/>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Verde</w:t>
            </w:r>
          </w:p>
        </w:tc>
      </w:tr>
    </w:tbl>
    <w:p>
      <w:pPr>
        <w:pStyle w:val="Heading1"/>
        <w:spacing w:after="140" w:before="300"/>
      </w:pPr>
      <w:r>
        <w:rPr>
          <w:rFonts w:ascii="Arial" w:cs="Arial" w:eastAsia="Arial" w:hAnsi="Arial"/>
          <w:b/>
          <w:bCs/>
          <w:color w:val="6C4EF5"/>
          <w:sz w:val="28"/>
          <w:szCs w:val="28"/>
        </w:rPr>
        <w:t xml:space="preserve">7. Cumplimiento de requisitos del hackathon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638"/>
      </w:tblGrid>
      <w:tr>
        <w:trPr>
          <w:tblHeader/>
        </w:trPr>
        <w:tc>
          <w:tcPr>
            <w:tcW w:type="dxa" w:w="37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Requisito</w:t>
            </w:r>
          </w:p>
        </w:tc>
        <w:tc>
          <w:tcPr>
            <w:tcW w:type="dxa" w:w="13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Estado</w:t>
            </w:r>
          </w:p>
        </w:tc>
        <w:tc>
          <w:tcPr>
            <w:tcW w:type="dxa" w:w="46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Cómo se cumple</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Ingesta de PDF, Markdown y texto</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También Word y PDF escaneados con OCR.</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RAG: chunking, embeddings y búsqueda vectorial</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Embeddings de Gemini, TF-IDF de respaldo y ChromaDB opcional.</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Orquestación tipo agentes con reintento</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Grafo de LangGraph con ciclo Crítico → Redactor.</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Adaptación a 4 perfiles y varios formatos</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4 perfiles, 6 formatos, 5 sectores y 3 niveles.</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Salida JSON estructurada y API REST</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POST /api/v1/adaptar con validación estricta y documentación en /docs.</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Verificación de fidelidad</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Puntaje por afirmación y juez de IA con citas textuales.</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OCI Object Storage (obligatorio)</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Subida real activa: /health indica oci_disponible: true.</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Despliegue de la aplicación</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En línea en Render.</w:t>
            </w:r>
          </w:p>
        </w:tc>
      </w:tr>
      <w:t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Uso exclusivo de la capa gratuita</w:t>
            </w:r>
          </w:p>
        </w:tc>
        <w:tc>
          <w:tcPr>
            <w:tcW w:type="dxa" w:w="13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Cumplido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Proveedores gratuitos primero; OCI Always Free con presupuesto de 1 USD.</w:t>
            </w:r>
          </w:p>
        </w:tc>
      </w:tr>
    </w:tbl>
    <w:p>
      <w:pPr>
        <w:spacing w:after="120" w:line="276"/>
      </w:pPr>
      <w:r>
        <w:rPr>
          <w:rFonts w:ascii="Arial" w:cs="Arial" w:eastAsia="Arial" w:hAnsi="Arial"/>
          <w:sz w:val="21"/>
          <w:szCs w:val="21"/>
        </w:rPr>
        <w:t xml:space="preserve">Resultado de la rúbrica: 17 de 18 puntos.</w:t>
      </w:r>
    </w:p>
    <w:p>
      <w:pPr>
        <w:pStyle w:val="Heading1"/>
        <w:spacing w:after="140" w:before="300"/>
      </w:pPr>
      <w:r>
        <w:rPr>
          <w:rFonts w:ascii="Arial" w:cs="Arial" w:eastAsia="Arial" w:hAnsi="Arial"/>
          <w:b/>
          <w:bCs/>
          <w:color w:val="6C4EF5"/>
          <w:sz w:val="28"/>
          <w:szCs w:val="28"/>
        </w:rPr>
        <w:t xml:space="preserve">8. Métricas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438"/>
      </w:tblGrid>
      <w:tr>
        <w:trPr>
          <w:tblHeader/>
        </w:trPr>
        <w:tc>
          <w:tcPr>
            <w:tcW w:type="dxa" w:w="34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Indicador</w:t>
            </w:r>
          </w:p>
        </w:tc>
        <w:tc>
          <w:tcPr>
            <w:tcW w:type="dxa" w:w="18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Valor</w:t>
            </w:r>
          </w:p>
        </w:tc>
        <w:tc>
          <w:tcPr>
            <w:tcW w:type="dxa" w:w="44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Detalle</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Historias de usuario</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101 de 101</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Todas hechas, en 15 épicas.</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Pruebas automatizadas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317</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Todas pasan (de 69 en el Sprint 1).</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Fidelidad de la demo final</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1,00</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Flashcards, video y podcast con el documento de Normas de Conducta.</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Rúbrica del hackathon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17 de 18</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Requisitos obligatorios cumplidos.</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Formatos pedagógicos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6</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Tutorial, Flashcards, Quiz, Resumen Ejecutivo, Guion de Clase y Podcast.</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Exportaciones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7</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Markdown, Anki, Word, PDF, PowerPoint, MP4 y MP3.</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Pull requests integrados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39</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De 40 pull requests (#1 a #40), 39 fusionados a main por rama de sprint.</w:t>
            </w:r>
          </w:p>
        </w:tc>
      </w:tr>
      <w:t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Código fuente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 10.000 líneas</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Más ≈ 4.500 líneas de pruebas.</w:t>
            </w:r>
          </w:p>
        </w:tc>
      </w:tr>
    </w:tbl>
    <w:p>
      <w:pPr>
        <w:pStyle w:val="Heading1"/>
        <w:spacing w:after="140" w:before="300"/>
      </w:pPr>
      <w:r>
        <w:rPr>
          <w:rFonts w:ascii="Arial" w:cs="Arial" w:eastAsia="Arial" w:hAnsi="Arial"/>
          <w:b/>
          <w:bCs/>
          <w:color w:val="6C4EF5"/>
          <w:sz w:val="28"/>
          <w:szCs w:val="28"/>
        </w:rPr>
        <w:t xml:space="preserve">9. Calidad, seguridad y uso responsable</w:t>
      </w:r>
    </w:p>
    <w:p>
      <w:pPr>
        <w:pStyle w:val="ListParagraph"/>
        <w:numPr>
          <w:ilvl w:val="0"/>
          <w:numId w:val="2"/>
        </w:numPr>
        <w:spacing w:after="60"/>
      </w:pPr>
      <w:r>
        <w:rPr>
          <w:rFonts w:ascii="Arial" w:cs="Arial" w:eastAsia="Arial" w:hAnsi="Arial"/>
          <w:sz w:val="21"/>
          <w:szCs w:val="21"/>
        </w:rPr>
        <w:t xml:space="preserve">317 pruebas automatizadas sin red ni credenciales: API, ingesta, agentes, fidelidad, voces, títulos, seguridad y configuración.</w:t>
      </w:r>
    </w:p>
    <w:p>
      <w:pPr>
        <w:pStyle w:val="ListParagraph"/>
        <w:numPr>
          <w:ilvl w:val="0"/>
          <w:numId w:val="2"/>
        </w:numPr>
        <w:spacing w:after="60"/>
      </w:pPr>
      <w:r>
        <w:rPr>
          <w:rFonts w:ascii="Arial" w:cs="Arial" w:eastAsia="Arial" w:hAnsi="Arial"/>
          <w:sz w:val="21"/>
          <w:szCs w:val="21"/>
        </w:rPr>
        <w:t xml:space="preserve">Revisión de secretos antes de cada commit y en GitHub Actions; .env y llaves fuera del repositorio.</w:t>
      </w:r>
    </w:p>
    <w:p>
      <w:pPr>
        <w:pStyle w:val="ListParagraph"/>
        <w:numPr>
          <w:ilvl w:val="0"/>
          <w:numId w:val="2"/>
        </w:numPr>
        <w:spacing w:after="60"/>
      </w:pPr>
      <w:r>
        <w:rPr>
          <w:rFonts w:ascii="Arial" w:cs="Arial" w:eastAsia="Arial" w:hAnsi="Arial"/>
          <w:sz w:val="21"/>
          <w:szCs w:val="21"/>
        </w:rPr>
        <w:t xml:space="preserve">Resistencia a instrucciones inyectadas en el documento: el contenido del usuario nunca se ejecuta.</w:t>
      </w:r>
    </w:p>
    <w:p>
      <w:pPr>
        <w:pStyle w:val="ListParagraph"/>
        <w:numPr>
          <w:ilvl w:val="0"/>
          <w:numId w:val="2"/>
        </w:numPr>
        <w:spacing w:after="60"/>
      </w:pPr>
      <w:r>
        <w:rPr>
          <w:rFonts w:ascii="Arial" w:cs="Arial" w:eastAsia="Arial" w:hAnsi="Arial"/>
          <w:sz w:val="21"/>
          <w:szCs w:val="21"/>
        </w:rPr>
        <w:t xml:space="preserve">Aviso legal y ético obligatorio antes de procesar un documento, y aviso de responsabilidad en el sector Salud.</w:t>
      </w:r>
    </w:p>
    <w:p>
      <w:pPr>
        <w:pStyle w:val="ListParagraph"/>
        <w:numPr>
          <w:ilvl w:val="0"/>
          <w:numId w:val="2"/>
        </w:numPr>
        <w:spacing w:after="60"/>
      </w:pPr>
      <w:r>
        <w:rPr>
          <w:rFonts w:ascii="Arial" w:cs="Arial" w:eastAsia="Arial" w:hAnsi="Arial"/>
          <w:sz w:val="21"/>
          <w:szCs w:val="21"/>
        </w:rPr>
        <w:t xml:space="preserve">Umbral de fidelidad más exigente en Salud (0,90): el material que no lo alcanza no se aprueba.</w:t>
      </w:r>
    </w:p>
    <w:p>
      <w:pPr>
        <w:pStyle w:val="Heading1"/>
        <w:spacing w:after="140" w:before="300"/>
      </w:pPr>
      <w:r>
        <w:rPr>
          <w:rFonts w:ascii="Arial" w:cs="Arial" w:eastAsia="Arial" w:hAnsi="Arial"/>
          <w:b/>
          <w:bCs/>
          <w:color w:val="6C4EF5"/>
          <w:sz w:val="28"/>
          <w:szCs w:val="28"/>
        </w:rPr>
        <w:t xml:space="preserve">10.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438"/>
      </w:tblGrid>
      <w:tr>
        <w:trPr>
          <w:tblHeader/>
        </w:trPr>
        <w:tc>
          <w:tcPr>
            <w:tcW w:type="dxa" w:w="25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Integrante</w:t>
            </w:r>
          </w:p>
        </w:tc>
        <w:tc>
          <w:tcPr>
            <w:tcW w:type="dxa" w:w="27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Rol</w:t>
            </w:r>
          </w:p>
        </w:tc>
        <w:tc>
          <w:tcPr>
            <w:tcW w:type="dxa" w:w="44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Aporte principal</w:t>
            </w:r>
          </w:p>
        </w:tc>
      </w:tr>
      <w:t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Juan Pablo Calla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Project Manager</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Gestión del proyecto, arquitectura, desarrollo de la mayor parte de la aplicación, despliegue, documentación y Demo Day.</w:t>
            </w:r>
          </w:p>
        </w:tc>
      </w:tr>
      <w:t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Diana Dure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QA Tester</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Plan y casos de prueba, evidencias por sprint, actividades en Jira y documentación de calidad.</w:t>
            </w:r>
          </w:p>
        </w:tc>
      </w:tr>
      <w:t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Ethan Espinoza Acosta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Backend Developer · reemplazo de AI Engineer</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Caché de material aprobado, rotación de modelos, integración con OCI y pruebas de la API.</w:t>
            </w:r>
          </w:p>
        </w:tc>
      </w:tr>
      <w:t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Dario Higuera Moreno</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No Code Developer</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Ajustes del video, instalación con Docker Compose y checklist de despliegue.</w:t>
            </w:r>
          </w:p>
        </w:tc>
      </w:tr>
      <w:t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Gaspar Martinez Paiva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Data Engineer · reemplazo de ML Engineer</w:t>
            </w:r>
          </w:p>
        </w:tc>
        <w:tc>
          <w:tcPr>
            <w:tcW w:type="dxa" w:w="44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Cliente de OCI, cuenta Always Free y aviso para el sector Salud.</w:t>
            </w:r>
          </w:p>
        </w:tc>
      </w:tr>
    </w:tbl>
    <w:p>
      <w:pPr>
        <w:spacing w:after="120" w:line="276"/>
      </w:pPr>
      <w:r>
        <w:rPr>
          <w:rFonts w:ascii="Arial" w:cs="Arial" w:eastAsia="Arial" w:hAnsi="Arial"/>
          <w:sz w:val="21"/>
          <w:szCs w:val="21"/>
        </w:rPr>
        <w:t xml:space="preserve">Bryan Infante (AI Engineer) y Adrian Gil (ML Engineer) fueron reemplazados desde el Sprint 2 por Ethan Espinoza Acosta y Gaspar Martinez Paiva.</w:t>
      </w:r>
    </w:p>
    <w:p>
      <w:pPr>
        <w:pStyle w:val="Heading1"/>
        <w:spacing w:after="140" w:before="300"/>
      </w:pPr>
      <w:r>
        <w:rPr>
          <w:rFonts w:ascii="Arial" w:cs="Arial" w:eastAsia="Arial" w:hAnsi="Arial"/>
          <w:b/>
          <w:bCs/>
          <w:color w:val="6C4EF5"/>
          <w:sz w:val="28"/>
          <w:szCs w:val="28"/>
        </w:rPr>
        <w:t xml:space="preserve">11. Gestión del proyecto</w:t>
      </w:r>
    </w:p>
    <w:p>
      <w:pPr>
        <w:pStyle w:val="ListParagraph"/>
        <w:numPr>
          <w:ilvl w:val="0"/>
          <w:numId w:val="2"/>
        </w:numPr>
        <w:spacing w:after="60"/>
      </w:pPr>
      <w:r>
        <w:rPr>
          <w:rFonts w:ascii="Arial" w:cs="Arial" w:eastAsia="Arial" w:hAnsi="Arial"/>
          <w:sz w:val="21"/>
          <w:szCs w:val="21"/>
        </w:rPr>
        <w:t xml:space="preserve">Scrum con sprints semanales de lunes a domingo, planificación y cierre con informe del PM en cada sprint.</w:t>
      </w:r>
    </w:p>
    <w:p>
      <w:pPr>
        <w:pStyle w:val="ListParagraph"/>
        <w:numPr>
          <w:ilvl w:val="0"/>
          <w:numId w:val="2"/>
        </w:numPr>
        <w:spacing w:after="60"/>
      </w:pPr>
      <w:r>
        <w:rPr>
          <w:rFonts w:ascii="Arial" w:cs="Arial" w:eastAsia="Arial" w:hAnsi="Arial"/>
          <w:sz w:val="21"/>
          <w:szCs w:val="21"/>
        </w:rPr>
        <w:t xml:space="preserve">Backlog, tareas y casos de prueba en Jira (proyecto SCRUM), con paneles de seguimiento.</w:t>
      </w:r>
    </w:p>
    <w:p>
      <w:pPr>
        <w:pStyle w:val="ListParagraph"/>
        <w:numPr>
          <w:ilvl w:val="0"/>
          <w:numId w:val="2"/>
        </w:numPr>
        <w:spacing w:after="60"/>
      </w:pPr>
      <w:r>
        <w:rPr>
          <w:rFonts w:ascii="Arial" w:cs="Arial" w:eastAsia="Arial" w:hAnsi="Arial"/>
          <w:sz w:val="21"/>
          <w:szCs w:val="21"/>
        </w:rPr>
        <w:t xml:space="preserve">Una rama por sprint en GitHub, integrada a main por pull request.</w:t>
      </w:r>
    </w:p>
    <w:p>
      <w:pPr>
        <w:pStyle w:val="ListParagraph"/>
        <w:numPr>
          <w:ilvl w:val="0"/>
          <w:numId w:val="2"/>
        </w:numPr>
        <w:spacing w:after="60"/>
      </w:pPr>
      <w:r>
        <w:rPr>
          <w:rFonts w:ascii="Arial" w:cs="Arial" w:eastAsia="Arial" w:hAnsi="Arial"/>
          <w:sz w:val="21"/>
          <w:szCs w:val="21"/>
        </w:rPr>
        <w:t xml:space="preserve">Historias de usuario versionadas (v1, v2 y v3) con criterios de aceptación, prioridad MoSCoW y responsable.</w:t>
      </w:r>
    </w:p>
    <w:p>
      <w:pPr>
        <w:pStyle w:val="Heading1"/>
        <w:spacing w:after="140" w:before="300"/>
      </w:pPr>
      <w:r>
        <w:rPr>
          <w:rFonts w:ascii="Arial" w:cs="Arial" w:eastAsia="Arial" w:hAnsi="Arial"/>
          <w:b/>
          <w:bCs/>
          <w:color w:val="6C4EF5"/>
          <w:sz w:val="28"/>
          <w:szCs w:val="28"/>
        </w:rPr>
        <w:t xml:space="preserve">12. Riesgos y cómo se resolvieron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5238"/>
      </w:tblGrid>
      <w:tr>
        <w:trPr>
          <w:tblHeader/>
        </w:trPr>
        <w:tc>
          <w:tcPr>
            <w:tcW w:type="dxa" w:w="33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Riesgo</w:t>
            </w:r>
          </w:p>
        </w:tc>
        <w:tc>
          <w:tcPr>
            <w:tcW w:type="dxa" w:w="11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Estado</w:t>
            </w:r>
          </w:p>
        </w:tc>
        <w:tc>
          <w:tcPr>
            <w:tcW w:type="dxa" w:w="52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Resolución</w:t>
            </w:r>
          </w:p>
        </w:tc>
      </w:tr>
      <w:t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Cuota gratuita de Gemini agotada</w:t>
            </w:r>
          </w:p>
        </w:tc>
        <w:tc>
          <w:tcPr>
            <w:tcW w:type="dxa" w:w="11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Resuelto</w:t>
            </w:r>
          </w:p>
        </w:tc>
        <w:tc>
          <w:tcPr>
            <w:tcW w:type="dxa" w:w="52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Cadena de proveedores gratuitos (Groq, Cerebras, OpenRouter) y enrutado por salud.</w:t>
            </w:r>
          </w:p>
        </w:tc>
      </w:tr>
      <w:t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OCI Object Storage sin validar (error 401)</w:t>
            </w:r>
          </w:p>
        </w:tc>
        <w:tc>
          <w:tcPr>
            <w:tcW w:type="dxa" w:w="11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Resuelto</w:t>
            </w:r>
          </w:p>
        </w:tc>
        <w:tc>
          <w:tcPr>
            <w:tcW w:type="dxa" w:w="52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Llave registrada, namespace corregido y subida real activa.</w:t>
            </w:r>
          </w:p>
        </w:tc>
      </w:tr>
      <w:t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Servidor gratuito pequeño (512 MB, error 502)</w:t>
            </w:r>
          </w:p>
        </w:tc>
        <w:tc>
          <w:tcPr>
            <w:tcW w:type="dxa" w:w="11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Resuelto</w:t>
            </w:r>
          </w:p>
        </w:tc>
        <w:tc>
          <w:tcPr>
            <w:tcW w:type="dxa" w:w="52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Video y podcast en segundo plano, uno a la vez, y codificación liviana.</w:t>
            </w:r>
          </w:p>
        </w:tc>
      </w:tr>
      <w:t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Video sin voz cuando se agota la cuota</w:t>
            </w:r>
          </w:p>
        </w:tc>
        <w:tc>
          <w:tcPr>
            <w:tcW w:type="dxa" w:w="11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Resuelto</w:t>
            </w:r>
          </w:p>
        </w:tc>
        <w:tc>
          <w:tcPr>
            <w:tcW w:type="dxa" w:w="52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Respaldo gratuito con Edge TTS, reintentos y aviso claro.</w:t>
            </w:r>
          </w:p>
        </w:tc>
      </w:tr>
      <w:t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Llave de OCI expuesta en ramas antiguas</w:t>
            </w:r>
          </w:p>
        </w:tc>
        <w:tc>
          <w:tcPr>
            <w:tcW w:type="dxa" w:w="11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Resuelto</w:t>
            </w:r>
          </w:p>
        </w:tc>
        <w:tc>
          <w:tcPr>
            <w:tcW w:type="dxa" w:w="52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Llave revocada en la consola y revisión de secretos automática.</w:t>
            </w:r>
          </w:p>
        </w:tc>
      </w:tr>
      <w:t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Cambios de integrantes del equipo</w:t>
            </w:r>
          </w:p>
        </w:tc>
        <w:tc>
          <w:tcPr>
            <w:tcW w:type="dxa" w:w="1100"/>
            <w:tcBorders>
              <w:top w:val="single" w:color="000000" w:sz="4"/>
              <w:left w:val="single" w:color="000000" w:sz="4"/>
              <w:bottom w:val="single" w:color="000000" w:sz="4"/>
              <w:right w:val="single" w:color="000000" w:sz="4"/>
            </w:tcBorders>
            <w:shd w:fill="DCF7EE" w:color="auto" w:val="clear"/>
            <w:tcMar>
              <w:top w:type="dxa" w:w="50"/>
              <w:left w:type="dxa" w:w="90"/>
              <w:bottom w:type="dxa" w:w="50"/>
              <w:right w:type="dxa" w:w="90"/>
            </w:tcMar>
          </w:tcPr>
          <w:p>
            <w:r>
              <w:rPr>
                <w:rFonts w:ascii="Arial" w:cs="Arial" w:eastAsia="Arial" w:hAnsi="Arial"/>
                <w:b/>
                <w:bCs/>
                <w:sz w:val="19"/>
                <w:szCs w:val="19"/>
              </w:rPr>
              <w:t xml:space="preserve">Resuelto</w:t>
            </w:r>
          </w:p>
        </w:tc>
        <w:tc>
          <w:tcPr>
            <w:tcW w:type="dxa" w:w="52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Reasignación de roles e historias desde el Sprint 2.</w:t>
            </w:r>
          </w:p>
        </w:tc>
      </w:tr>
    </w:tbl>
    <w:p>
      <w:pPr>
        <w:pStyle w:val="Heading1"/>
        <w:spacing w:after="140" w:before="300"/>
      </w:pPr>
      <w:r>
        <w:rPr>
          <w:rFonts w:ascii="Arial" w:cs="Arial" w:eastAsia="Arial" w:hAnsi="Arial"/>
          <w:b/>
          <w:bCs/>
          <w:color w:val="6C4EF5"/>
          <w:sz w:val="28"/>
          <w:szCs w:val="28"/>
        </w:rPr>
        <w:t xml:space="preserve">13. Lecciones aprendidas</w:t>
      </w:r>
    </w:p>
    <w:p>
      <w:pPr>
        <w:pStyle w:val="Heading2"/>
        <w:spacing w:after="80" w:before="180"/>
      </w:pPr>
      <w:r>
        <w:rPr>
          <w:rFonts w:ascii="Arial" w:cs="Arial" w:eastAsia="Arial" w:hAnsi="Arial"/>
          <w:b/>
          <w:bCs/>
          <w:color w:val="2B2440"/>
          <w:sz w:val="22"/>
          <w:szCs w:val="22"/>
        </w:rPr>
        <w:t xml:space="preserve">Lo que funcionó</w:t>
      </w:r>
    </w:p>
    <w:p>
      <w:pPr>
        <w:pStyle w:val="ListParagraph"/>
        <w:numPr>
          <w:ilvl w:val="0"/>
          <w:numId w:val="2"/>
        </w:numPr>
        <w:spacing w:after="60"/>
      </w:pPr>
      <w:r>
        <w:rPr>
          <w:rFonts w:ascii="Arial" w:cs="Arial" w:eastAsia="Arial" w:hAnsi="Arial"/>
          <w:b/>
          <w:bCs/>
          <w:sz w:val="21"/>
          <w:szCs w:val="21"/>
        </w:rPr>
        <w:t xml:space="preserve">Un MVP temprano: </w:t>
      </w:r>
      <w:r>
        <w:rPr>
          <w:rFonts w:ascii="Arial" w:cs="Arial" w:eastAsia="Arial" w:hAnsi="Arial"/>
          <w:sz w:val="21"/>
          <w:szCs w:val="21"/>
        </w:rPr>
        <w:t xml:space="preserve">tener todo el flujo funcionando en el Sprint 1 permitió mejorar sobre algo real.</w:t>
      </w:r>
    </w:p>
    <w:p>
      <w:pPr>
        <w:pStyle w:val="ListParagraph"/>
        <w:numPr>
          <w:ilvl w:val="0"/>
          <w:numId w:val="2"/>
        </w:numPr>
        <w:spacing w:after="60"/>
      </w:pPr>
      <w:r>
        <w:rPr>
          <w:rFonts w:ascii="Arial" w:cs="Arial" w:eastAsia="Arial" w:hAnsi="Arial"/>
          <w:b/>
          <w:bCs/>
          <w:sz w:val="21"/>
          <w:szCs w:val="21"/>
        </w:rPr>
        <w:t xml:space="preserve">Medir antes de cambiar: </w:t>
      </w:r>
      <w:r>
        <w:rPr>
          <w:rFonts w:ascii="Arial" w:cs="Arial" w:eastAsia="Arial" w:hAnsi="Arial"/>
          <w:sz w:val="21"/>
          <w:szCs w:val="21"/>
        </w:rPr>
        <w:t xml:space="preserve">medir la CPU del video bajó su costo de 78 a 9 segundos sin perder calidad.</w:t>
      </w:r>
    </w:p>
    <w:p>
      <w:pPr>
        <w:pStyle w:val="ListParagraph"/>
        <w:numPr>
          <w:ilvl w:val="0"/>
          <w:numId w:val="2"/>
        </w:numPr>
        <w:spacing w:after="60"/>
      </w:pPr>
      <w:r>
        <w:rPr>
          <w:rFonts w:ascii="Arial" w:cs="Arial" w:eastAsia="Arial" w:hAnsi="Arial"/>
          <w:b/>
          <w:bCs/>
          <w:sz w:val="21"/>
          <w:szCs w:val="21"/>
        </w:rPr>
        <w:t xml:space="preserve">Respaldos en cada servicio externo: </w:t>
      </w:r>
      <w:r>
        <w:rPr>
          <w:rFonts w:ascii="Arial" w:cs="Arial" w:eastAsia="Arial" w:hAnsi="Arial"/>
          <w:sz w:val="21"/>
          <w:szCs w:val="21"/>
        </w:rPr>
        <w:t xml:space="preserve">IA, voz y almacenamiento siguen funcionando aunque un proveedor falle.</w:t>
      </w:r>
    </w:p>
    <w:p>
      <w:pPr>
        <w:pStyle w:val="ListParagraph"/>
        <w:numPr>
          <w:ilvl w:val="0"/>
          <w:numId w:val="2"/>
        </w:numPr>
        <w:spacing w:after="60"/>
      </w:pPr>
      <w:r>
        <w:rPr>
          <w:rFonts w:ascii="Arial" w:cs="Arial" w:eastAsia="Arial" w:hAnsi="Arial"/>
          <w:b/>
          <w:bCs/>
          <w:sz w:val="21"/>
          <w:szCs w:val="21"/>
        </w:rPr>
        <w:t xml:space="preserve">Pruebas automatizadas: </w:t>
      </w:r>
      <w:r>
        <w:rPr>
          <w:rFonts w:ascii="Arial" w:cs="Arial" w:eastAsia="Arial" w:hAnsi="Arial"/>
          <w:sz w:val="21"/>
          <w:szCs w:val="21"/>
        </w:rPr>
        <w:t xml:space="preserve">crecieron de 69 a 317 y permitieron cambiar el código con seguridad.</w:t>
      </w:r>
    </w:p>
    <w:p>
      <w:pPr>
        <w:pStyle w:val="Heading2"/>
        <w:spacing w:after="80" w:before="180"/>
      </w:pPr>
      <w:r>
        <w:rPr>
          <w:rFonts w:ascii="Arial" w:cs="Arial" w:eastAsia="Arial" w:hAnsi="Arial"/>
          <w:b/>
          <w:bCs/>
          <w:color w:val="2B2440"/>
          <w:sz w:val="22"/>
          <w:szCs w:val="22"/>
        </w:rPr>
        <w:t xml:space="preserve">Lo que haremos distinto</w:t>
      </w:r>
    </w:p>
    <w:p>
      <w:pPr>
        <w:pStyle w:val="ListParagraph"/>
        <w:numPr>
          <w:ilvl w:val="0"/>
          <w:numId w:val="2"/>
        </w:numPr>
        <w:spacing w:after="60"/>
      </w:pPr>
      <w:r>
        <w:rPr>
          <w:rFonts w:ascii="Arial" w:cs="Arial" w:eastAsia="Arial" w:hAnsi="Arial"/>
          <w:b/>
          <w:bCs/>
          <w:sz w:val="21"/>
          <w:szCs w:val="21"/>
        </w:rPr>
        <w:t xml:space="preserve">Cuentas externas desde el día uno: </w:t>
      </w:r>
      <w:r>
        <w:rPr>
          <w:rFonts w:ascii="Arial" w:cs="Arial" w:eastAsia="Arial" w:hAnsi="Arial"/>
          <w:sz w:val="21"/>
          <w:szCs w:val="21"/>
        </w:rPr>
        <w:t xml:space="preserve">OCI y las llaves de API demoraron requisitos obligatorios.</w:t>
      </w:r>
    </w:p>
    <w:p>
      <w:pPr>
        <w:pStyle w:val="ListParagraph"/>
        <w:numPr>
          <w:ilvl w:val="0"/>
          <w:numId w:val="2"/>
        </w:numPr>
        <w:spacing w:after="60"/>
      </w:pPr>
      <w:r>
        <w:rPr>
          <w:rFonts w:ascii="Arial" w:cs="Arial" w:eastAsia="Arial" w:hAnsi="Arial"/>
          <w:b/>
          <w:bCs/>
          <w:sz w:val="21"/>
          <w:szCs w:val="21"/>
        </w:rPr>
        <w:t xml:space="preserve">Todo cambio por pull request: </w:t>
      </w:r>
      <w:r>
        <w:rPr>
          <w:rFonts w:ascii="Arial" w:cs="Arial" w:eastAsia="Arial" w:hAnsi="Arial"/>
          <w:sz w:val="21"/>
          <w:szCs w:val="21"/>
        </w:rPr>
        <w:t xml:space="preserve">con las pruebas pasando antes de fusionar.</w:t>
      </w:r>
    </w:p>
    <w:p>
      <w:pPr>
        <w:pStyle w:val="ListParagraph"/>
        <w:numPr>
          <w:ilvl w:val="0"/>
          <w:numId w:val="2"/>
        </w:numPr>
        <w:spacing w:after="60"/>
      </w:pPr>
      <w:r>
        <w:rPr>
          <w:rFonts w:ascii="Arial" w:cs="Arial" w:eastAsia="Arial" w:hAnsi="Arial"/>
          <w:b/>
          <w:bCs/>
          <w:sz w:val="21"/>
          <w:szCs w:val="21"/>
        </w:rPr>
        <w:t xml:space="preserve">Revisar secretos antes de subir: </w:t>
      </w:r>
      <w:r>
        <w:rPr>
          <w:rFonts w:ascii="Arial" w:cs="Arial" w:eastAsia="Arial" w:hAnsi="Arial"/>
          <w:sz w:val="21"/>
          <w:szCs w:val="21"/>
        </w:rPr>
        <w:t xml:space="preserve">ahora es automático, pero debe hacerse desde el inicio.</w:t>
      </w:r>
    </w:p>
    <w:p>
      <w:pPr>
        <w:pStyle w:val="ListParagraph"/>
        <w:numPr>
          <w:ilvl w:val="0"/>
          <w:numId w:val="2"/>
        </w:numPr>
        <w:spacing w:after="60"/>
      </w:pPr>
      <w:r>
        <w:rPr>
          <w:rFonts w:ascii="Arial" w:cs="Arial" w:eastAsia="Arial" w:hAnsi="Arial"/>
          <w:b/>
          <w:bCs/>
          <w:sz w:val="21"/>
          <w:szCs w:val="21"/>
        </w:rPr>
        <w:t xml:space="preserve">Repartir el trabajo técnico: </w:t>
      </w:r>
      <w:r>
        <w:rPr>
          <w:rFonts w:ascii="Arial" w:cs="Arial" w:eastAsia="Arial" w:hAnsi="Arial"/>
          <w:sz w:val="21"/>
          <w:szCs w:val="21"/>
        </w:rPr>
        <w:t xml:space="preserve">planificar tareas de código para todos los integrantes.</w:t>
      </w:r>
    </w:p>
    <w:p>
      <w:pPr>
        <w:pStyle w:val="Heading1"/>
        <w:spacing w:after="140" w:before="300"/>
      </w:pPr>
      <w:r>
        <w:rPr>
          <w:rFonts w:ascii="Arial" w:cs="Arial" w:eastAsia="Arial" w:hAnsi="Arial"/>
          <w:b/>
          <w:bCs/>
          <w:color w:val="6C4EF5"/>
          <w:sz w:val="28"/>
          <w:szCs w:val="28"/>
        </w:rPr>
        <w:t xml:space="preserve">14. Estado final y próximos pasos</w:t>
      </w:r>
    </w:p>
    <w:p>
      <w:pPr>
        <w:spacing w:after="120" w:line="276"/>
      </w:pPr>
      <w:r>
        <w:rPr>
          <w:rFonts w:ascii="Arial" w:cs="Arial" w:eastAsia="Arial" w:hAnsi="Arial"/>
          <w:sz w:val="21"/>
          <w:szCs w:val="21"/>
        </w:rPr>
        <w:t xml:space="preserve">El proyecto se entrega completo: el código está congelado en la rama main, sin pull requests abiertos ni historias pendientes, y la aplicación está en línea en Render con OCI activo. Para una siguiente etapa, el equipo recomienda:</w:t>
      </w:r>
    </w:p>
    <w:p>
      <w:pPr>
        <w:pStyle w:val="ListParagraph"/>
        <w:numPr>
          <w:ilvl w:val="0"/>
          <w:numId w:val="2"/>
        </w:numPr>
        <w:spacing w:after="60"/>
      </w:pPr>
      <w:r>
        <w:rPr>
          <w:rFonts w:ascii="Arial" w:cs="Arial" w:eastAsia="Arial" w:hAnsi="Arial"/>
          <w:sz w:val="21"/>
          <w:szCs w:val="21"/>
        </w:rPr>
        <w:t xml:space="preserve">Desplegar en OCI Compute Always Free, con los scripts que ya están en el repositorio.</w:t>
      </w:r>
    </w:p>
    <w:p>
      <w:pPr>
        <w:pStyle w:val="ListParagraph"/>
        <w:numPr>
          <w:ilvl w:val="0"/>
          <w:numId w:val="2"/>
        </w:numPr>
        <w:spacing w:after="60"/>
      </w:pPr>
      <w:r>
        <w:rPr>
          <w:rFonts w:ascii="Arial" w:cs="Arial" w:eastAsia="Arial" w:hAnsi="Arial"/>
          <w:sz w:val="21"/>
          <w:szCs w:val="21"/>
        </w:rPr>
        <w:t xml:space="preserve">Medir la fidelidad por sector y nivel de detalle con un conjunto de documentos de referencia.</w:t>
      </w:r>
    </w:p>
    <w:p>
      <w:pPr>
        <w:pStyle w:val="ListParagraph"/>
        <w:numPr>
          <w:ilvl w:val="0"/>
          <w:numId w:val="2"/>
        </w:numPr>
        <w:spacing w:after="60"/>
      </w:pPr>
      <w:r>
        <w:rPr>
          <w:rFonts w:ascii="Arial" w:cs="Arial" w:eastAsia="Arial" w:hAnsi="Arial"/>
          <w:sz w:val="21"/>
          <w:szCs w:val="21"/>
        </w:rPr>
        <w:t xml:space="preserve">Interpretar diagramas e imágenes de los documentos con un modelo multimodal.</w:t>
      </w:r>
    </w:p>
    <w:p>
      <w:pPr>
        <w:pStyle w:val="ListParagraph"/>
        <w:numPr>
          <w:ilvl w:val="0"/>
          <w:numId w:val="2"/>
        </w:numPr>
        <w:spacing w:after="60"/>
      </w:pPr>
      <w:r>
        <w:rPr>
          <w:rFonts w:ascii="Arial" w:cs="Arial" w:eastAsia="Arial" w:hAnsi="Arial"/>
          <w:sz w:val="21"/>
          <w:szCs w:val="21"/>
        </w:rPr>
        <w:t xml:space="preserve">Cuentas de usuario y espacios por empresa, para usar la plataforma con varios equipos.</w:t>
      </w:r>
    </w:p>
    <w:p>
      <w:pPr>
        <w:pStyle w:val="Heading1"/>
        <w:spacing w:after="140" w:before="300"/>
      </w:pPr>
      <w:r>
        <w:rPr>
          <w:rFonts w:ascii="Arial" w:cs="Arial" w:eastAsia="Arial" w:hAnsi="Arial"/>
          <w:b/>
          <w:bCs/>
          <w:color w:val="6C4EF5"/>
          <w:sz w:val="28"/>
          <w:szCs w:val="28"/>
        </w:rPr>
        <w:t xml:space="preserve">15. Enlaces y entregables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Recurso</w:t>
            </w:r>
          </w:p>
        </w:tc>
        <w:tc>
          <w:tcPr>
            <w:tcW w:type="dxa" w:w="6638"/>
            <w:tcBorders>
              <w:top w:val="single" w:color="000000" w:sz="4"/>
              <w:left w:val="single" w:color="000000" w:sz="4"/>
              <w:bottom w:val="single" w:color="000000" w:sz="4"/>
              <w:right w:val="single" w:color="000000" w:sz="4"/>
            </w:tcBorders>
            <w:shd w:fill="6C4EF5" w:color="auto" w:val="clear"/>
            <w:tcMar>
              <w:top w:type="dxa" w:w="50"/>
              <w:left w:type="dxa" w:w="90"/>
              <w:bottom w:type="dxa" w:w="50"/>
              <w:right w:type="dxa" w:w="90"/>
            </w:tcMar>
          </w:tcPr>
          <w:p>
            <w:r>
              <w:rPr>
                <w:rFonts w:ascii="Arial" w:cs="Arial" w:eastAsia="Arial" w:hAnsi="Arial"/>
                <w:b/>
                <w:bCs/>
                <w:color w:val="FFFFFF"/>
                <w:sz w:val="19"/>
                <w:szCs w:val="19"/>
              </w:rPr>
              <w:t xml:space="preserve">Enlace o ubicación</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Aplicación en línea</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https://g10-latam-equipo-41-kairos.onrender.com/</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Documentación de la API</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https://g10-latam-equipo-41-kairos.onrender.com/docs</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Repositorio</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https://github.com/No-Country-simulation/G10-LATAM-EQUIPO_41_KAIROS</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Backlog en Jira</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https://dielidube.atlassian.net/jira/software/projects/SCRUM/boards/1/backlog</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Informes del PM</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docs/entregables/Informe_PM_Sprint01.docx a Informe_PM_Sprint05.docx</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Historias de usuario</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docs/entregables/Historias_de_Usuario_NuevaMente_v3.docx</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Documentación de Jira y pruebas</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docs/jira/ y docs/pruebas/</w:t>
            </w:r>
          </w:p>
        </w:tc>
      </w:tr>
      <w:t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Demo Day</w:t>
            </w:r>
          </w:p>
        </w:tc>
        <w:tc>
          <w:tcPr>
            <w:tcW w:type="dxa" w:w="6638"/>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Arial" w:cs="Arial" w:eastAsia="Arial" w:hAnsi="Arial"/>
                <w:b w:val="false"/>
                <w:bCs w:val="false"/>
                <w:sz w:val="19"/>
                <w:szCs w:val="19"/>
              </w:rPr>
              <w:t xml:space="preserve">SPEECH_FINAL_DEMO_DAY.docx y SPEECH_FINAL_DEMO_DAY_SOLO.docx</w:t>
            </w:r>
          </w:p>
        </w:tc>
      </w:tr>
    </w:tbl>
    <w:p>
      <w:pPr>
        <w:spacing w:after="80"/>
      </w:pPr>
    </w:p>
    <w:p>
      <w:r>
        <w:rPr>
          <w:rFonts w:ascii="Arial" w:cs="Arial" w:eastAsia="Arial" w:hAnsi="Arial"/>
          <w:i/>
          <w:iCs/>
          <w:color w:val="6E6480"/>
          <w:sz w:val="17"/>
          <w:szCs w:val="17"/>
        </w:rPr>
        <w:t xml:space="preserve">Fuentes: informes del PM de los sprints 1 a 5, historias de usuario v3, historial del repositorio y pull requests, pruebas automatizadas y /health de Render al 27 de octubre de 2026.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480"/>
        <w:sz w:val="16"/>
        <w:szCs w:val="16"/>
      </w:rPr>
      <w:t xml:space="preserve">Kairos G10 · Informe final del proyecto NuevaMente · Página </w:t>
    </w:r>
    <w:r>
      <w:rPr>
        <w:rFonts w:ascii="Arial" w:cs="Arial" w:eastAsia="Arial" w:hAnsi="Arial"/>
        <w:color w:val="6E6480"/>
        <w:sz w:val="16"/>
        <w:szCs w:val="16"/>
      </w:rPr>
      <w:fldChar w:fldCharType="begin"/>
    </w:r>
    <w:r>
      <w:rPr>
        <w:rFonts w:ascii="Arial" w:cs="Arial" w:eastAsia="Arial" w:hAnsi="Arial"/>
        <w:color w:val="6E6480"/>
        <w:sz w:val="16"/>
        <w:szCs w:val="16"/>
      </w:rPr>
      <w:instrText xml:space="preserve">PAGE</w:instrText>
    </w:r>
    <w:r>
      <w:rPr>
        <w:rFonts w:ascii="Arial" w:cs="Arial" w:eastAsia="Arial" w:hAnsi="Arial"/>
        <w:color w:val="6E6480"/>
        <w:sz w:val="16"/>
        <w:szCs w:val="16"/>
      </w:rPr>
      <w:fldChar w:fldCharType="separate"/>
    </w:r>
    <w:r>
      <w:rPr>
        <w:rFonts w:ascii="Arial" w:cs="Arial" w:eastAsia="Arial" w:hAnsi="Arial"/>
        <w:color w:val="6E64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Arial" w:cs="Arial" w:eastAsia="Arial" w:hAnsi="Arial"/>
      <w:b/>
      <w:bCs/>
      <w:color w:val="6C4EF5"/>
      <w:sz w:val="28"/>
      <w:szCs w:val="28"/>
    </w:rPr>
  </w:style>
  <w:style w:type="paragraph" w:styleId="Heading2">
    <w:name w:val="Heading 2"/>
    <w:basedOn w:val="Normal"/>
    <w:next w:val="Normal"/>
    <w:qFormat/>
    <w:pPr>
      <w:outlineLvl w:val="1"/>
    </w:pPr>
    <w:rPr>
      <w:rFonts w:ascii="Arial" w:cs="Arial" w:eastAsia="Arial" w:hAnsi="Arial"/>
      <w:b/>
      <w:bCs/>
      <w:color w:val="2B24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abd6d3794068d91cd8de8db94c88e69204956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proyecto · NuevaMente</dc:title>
  <dc:creator>Juan Pablo Calla</dc:creator>
  <cp:lastModifiedBy>Un-named</cp:lastModifiedBy>
  <cp:revision>1</cp:revision>
  <dcterms:created xsi:type="dcterms:W3CDTF">2026-10-28T00:31:38.220Z</dcterms:created>
  <dcterms:modified xsi:type="dcterms:W3CDTF">2026-10-28T00:31:38.231Z</dcterms:modified>
</cp:coreProperties>
</file>

<file path=docProps/custom.xml><?xml version="1.0" encoding="utf-8"?>
<Properties xmlns="http://schemas.openxmlformats.org/officeDocument/2006/custom-properties" xmlns:vt="http://schemas.openxmlformats.org/officeDocument/2006/docPropsVTypes"/>
</file>