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r>
        <w:rPr>
          <w:b/>
          <w:i w:val="0"/>
          <w:color w:val="4B2FC2"/>
          <w:sz w:val="22"/>
        </w:rPr>
        <w:t>GUION DE PRESENTACIÓN</w:t>
      </w:r>
    </w:p>
    <w:p>
      <w:r>
        <w:rPr>
          <w:b/>
          <w:i w:val="0"/>
          <w:color w:val="2D2440"/>
          <w:sz w:val="60"/>
        </w:rPr>
        <w:t>Kairos G10 - NuevaMente</w:t>
      </w:r>
    </w:p>
    <w:p>
      <w:pPr>
        <w:pBdr>
          <w:bottom w:val="single" w:sz="12" w:space="8" w:color="4B2FC2"/>
        </w:pBdr>
      </w:pPr>
      <w:r>
        <w:rPr>
          <w:b w:val="0"/>
          <w:i w:val="0"/>
          <w:color w:val="6E6480"/>
          <w:sz w:val="26"/>
        </w:rPr>
        <w:t>Exposición final · Hackathon ONE G10 (Oracle Next Education y Alura)</w:t>
      </w:r>
    </w:p>
    <w:p/>
    <w:p>
      <w:r>
        <w:rPr>
          <w:b/>
          <w:i w:val="0"/>
          <w:sz w:val="22"/>
        </w:rPr>
        <w:t>Equipo Kairos G10 · G10-LATAM-equipo 41</w:t>
      </w:r>
    </w:p>
    <w:p>
      <w:r>
        <w:rPr>
          <w:b w:val="0"/>
          <w:i w:val="0"/>
          <w:sz w:val="20"/>
        </w:rPr>
        <w:t>Proyecto 1: Sistema Inteligente de Adaptación y Generación de Contenido Educativo</w:t>
      </w:r>
    </w:p>
    <w:p>
      <w:r>
        <w:rPr>
          <w:b w:val="0"/>
          <w:i w:val="0"/>
          <w:sz w:val="20"/>
        </w:rPr>
        <w:t>Nicho de foco: Salud · Versión de la aplicación: 1.4</w:t>
      </w:r>
    </w:p>
    <w:p/>
    <w:p>
      <w:r>
        <w:rPr>
          <w:b w:val="0"/>
          <w:i w:val="0"/>
          <w:color w:val="6E6480"/>
          <w:sz w:val="19"/>
        </w:rPr>
        <w:t>Duración: 8 minutos de exposición + 4 de demo en vivo + preguntas del jurado</w:t>
      </w:r>
    </w:p>
    <w:p>
      <w:pPr>
        <w:sectPr>
          <w:pgSz w:w="11906" w:h="16838"/>
          <w:pgMar w:top="1247" w:right="1247" w:bottom="1134" w:left="1247" w:header="720" w:footer="720" w:gutter="0"/>
          <w:cols w:space="720"/>
          <w:docGrid w:linePitch="360"/>
        </w:sectPr>
      </w:pPr>
    </w:p>
    <w:p>
      <w:pPr>
        <w:pStyle w:val="Heading1"/>
      </w:pPr>
      <w:r>
        <w:t>Cómo usar este guion</w:t>
      </w:r>
    </w:p>
    <w:p>
      <w:r>
        <w:rPr>
          <w:b w:val="0"/>
          <w:i w:val="0"/>
        </w:rPr>
        <w:t>Cada bloque trae el tiempo, quién habla y el texto para decir, dentro del recuadro morado. Las indicaciones entre corchetes, en naranja, son para quien maneja la pantalla y no se leen en voz alta. No hace falta memorizar palabra por palabra: lo importante son las ideas y las cifras en negrita del resumen.</w:t>
      </w:r>
    </w:p>
    <w:p>
      <w:r>
        <w:rPr>
          <w:b w:val="0"/>
          <w:i w:val="0"/>
        </w:rPr>
        <w:t>Los oradores son una propuesta según el rol de cada integrante; el equipo puede reasignarlos.</w:t>
      </w:r>
    </w:p>
    <w:tbl>
      <w:tblPr>
        <w:tblW w:type="auto" w:w="0"/>
        <w:tblLayout w:type="fixed"/>
        <w:tblLook w:firstColumn="1" w:firstRow="1" w:lastColumn="0" w:lastRow="0" w:noHBand="0" w:noVBand="1" w:val="04A0"/>
        <w:tblBorders>
          <w:top w:val="single" w:sz="4" w:color="D9D3EC"/>
          <w:left w:val="single" w:sz="4" w:color="D9D3EC"/>
          <w:bottom w:val="single" w:sz="4" w:color="D9D3EC"/>
          <w:right w:val="single" w:sz="4" w:color="D9D3EC"/>
          <w:insideH w:val="single" w:sz="4" w:color="D9D3EC"/>
          <w:insideV w:val="single" w:sz="4" w:color="D9D3EC"/>
        </w:tblBorders>
      </w:tblPr>
      <w:tblGrid>
        <w:gridCol w:w="2353"/>
        <w:gridCol w:w="2353"/>
        <w:gridCol w:w="2353"/>
        <w:gridCol w:w="2353"/>
      </w:tblGrid>
      <w:tr>
        <w:tc>
          <w:tcPr>
            <w:tcW w:type="dxa" w:w="850"/>
            <w:shd w:val="clear" w:color="auto" w:fill="4B2FC2"/>
          </w:tcPr>
          <w:p>
            <w:r/>
            <w:r>
              <w:rPr>
                <w:b/>
                <w:i w:val="0"/>
                <w:color w:val="FFFFFF"/>
                <w:sz w:val="20"/>
              </w:rPr>
              <w:t>Bloque</w:t>
            </w:r>
          </w:p>
        </w:tc>
        <w:tc>
          <w:tcPr>
            <w:tcW w:type="dxa" w:w="3628"/>
            <w:shd w:val="clear" w:color="auto" w:fill="4B2FC2"/>
          </w:tcPr>
          <w:p>
            <w:r/>
            <w:r>
              <w:rPr>
                <w:b/>
                <w:i w:val="0"/>
                <w:color w:val="FFFFFF"/>
                <w:sz w:val="20"/>
              </w:rPr>
              <w:t>Tema</w:t>
            </w:r>
          </w:p>
        </w:tc>
        <w:tc>
          <w:tcPr>
            <w:tcW w:type="dxa" w:w="964"/>
            <w:shd w:val="clear" w:color="auto" w:fill="4B2FC2"/>
          </w:tcPr>
          <w:p>
            <w:r/>
            <w:r>
              <w:rPr>
                <w:b/>
                <w:i w:val="0"/>
                <w:color w:val="FFFFFF"/>
                <w:sz w:val="20"/>
              </w:rPr>
              <w:t>Tiempo</w:t>
            </w:r>
          </w:p>
        </w:tc>
        <w:tc>
          <w:tcPr>
            <w:tcW w:type="dxa" w:w="3969"/>
            <w:shd w:val="clear" w:color="auto" w:fill="4B2FC2"/>
          </w:tcPr>
          <w:p>
            <w:r/>
            <w:r>
              <w:rPr>
                <w:b/>
                <w:i w:val="0"/>
                <w:color w:val="FFFFFF"/>
                <w:sz w:val="20"/>
              </w:rPr>
              <w:t>Orador sugerido</w:t>
            </w:r>
          </w:p>
        </w:tc>
      </w:tr>
      <w:tr>
        <w:tc>
          <w:tcPr>
            <w:tcW w:type="dxa" w:w="850"/>
          </w:tcPr>
          <w:p>
            <w:pPr>
              <w:spacing w:after="0"/>
            </w:pPr>
            <w:r/>
            <w:r>
              <w:rPr>
                <w:b/>
                <w:i w:val="0"/>
                <w:sz w:val="20"/>
              </w:rPr>
              <w:t>1</w:t>
            </w:r>
          </w:p>
        </w:tc>
        <w:tc>
          <w:tcPr>
            <w:tcW w:type="dxa" w:w="3628"/>
          </w:tcPr>
          <w:p>
            <w:pPr>
              <w:spacing w:after="0"/>
            </w:pPr>
            <w:r/>
            <w:r>
              <w:rPr>
                <w:b w:val="0"/>
                <w:i w:val="0"/>
                <w:sz w:val="20"/>
              </w:rPr>
              <w:t>Apertura y equipo</w:t>
            </w:r>
          </w:p>
        </w:tc>
        <w:tc>
          <w:tcPr>
            <w:tcW w:type="dxa" w:w="964"/>
          </w:tcPr>
          <w:p>
            <w:pPr>
              <w:spacing w:after="0"/>
            </w:pPr>
            <w:r/>
            <w:r>
              <w:rPr>
                <w:b w:val="0"/>
                <w:i w:val="0"/>
                <w:sz w:val="20"/>
              </w:rPr>
              <w:t>0:45</w:t>
            </w:r>
          </w:p>
        </w:tc>
        <w:tc>
          <w:tcPr>
            <w:tcW w:type="dxa" w:w="3969"/>
          </w:tcPr>
          <w:p>
            <w:pPr>
              <w:spacing w:after="0"/>
            </w:pPr>
            <w:r/>
            <w:r>
              <w:rPr>
                <w:b w:val="0"/>
                <w:i w:val="0"/>
                <w:sz w:val="20"/>
              </w:rPr>
              <w:t>Juan Pablo Calla (PM)</w:t>
            </w:r>
          </w:p>
        </w:tc>
      </w:tr>
      <w:tr>
        <w:tc>
          <w:tcPr>
            <w:tcW w:type="dxa" w:w="850"/>
          </w:tcPr>
          <w:p>
            <w:pPr>
              <w:spacing w:after="0"/>
            </w:pPr>
            <w:r/>
            <w:r>
              <w:rPr>
                <w:b/>
                <w:i w:val="0"/>
                <w:sz w:val="20"/>
              </w:rPr>
              <w:t>2</w:t>
            </w:r>
          </w:p>
        </w:tc>
        <w:tc>
          <w:tcPr>
            <w:tcW w:type="dxa" w:w="3628"/>
          </w:tcPr>
          <w:p>
            <w:pPr>
              <w:spacing w:after="0"/>
            </w:pPr>
            <w:r/>
            <w:r>
              <w:rPr>
                <w:b w:val="0"/>
                <w:i w:val="0"/>
                <w:sz w:val="20"/>
              </w:rPr>
              <w:t>El problema</w:t>
            </w:r>
          </w:p>
        </w:tc>
        <w:tc>
          <w:tcPr>
            <w:tcW w:type="dxa" w:w="964"/>
          </w:tcPr>
          <w:p>
            <w:pPr>
              <w:spacing w:after="0"/>
            </w:pPr>
            <w:r/>
            <w:r>
              <w:rPr>
                <w:b w:val="0"/>
                <w:i w:val="0"/>
                <w:sz w:val="20"/>
              </w:rPr>
              <w:t>1:00</w:t>
            </w:r>
          </w:p>
        </w:tc>
        <w:tc>
          <w:tcPr>
            <w:tcW w:type="dxa" w:w="3969"/>
          </w:tcPr>
          <w:p>
            <w:pPr>
              <w:spacing w:after="0"/>
            </w:pPr>
            <w:r/>
            <w:r>
              <w:rPr>
                <w:b w:val="0"/>
                <w:i w:val="0"/>
                <w:sz w:val="20"/>
              </w:rPr>
              <w:t>Juan Pablo Calla (PM)</w:t>
            </w:r>
          </w:p>
        </w:tc>
      </w:tr>
      <w:tr>
        <w:tc>
          <w:tcPr>
            <w:tcW w:type="dxa" w:w="850"/>
          </w:tcPr>
          <w:p>
            <w:pPr>
              <w:spacing w:after="0"/>
            </w:pPr>
            <w:r/>
            <w:r>
              <w:rPr>
                <w:b/>
                <w:i w:val="0"/>
                <w:sz w:val="20"/>
              </w:rPr>
              <w:t>3</w:t>
            </w:r>
          </w:p>
        </w:tc>
        <w:tc>
          <w:tcPr>
            <w:tcW w:type="dxa" w:w="3628"/>
          </w:tcPr>
          <w:p>
            <w:pPr>
              <w:spacing w:after="0"/>
            </w:pPr>
            <w:r/>
            <w:r>
              <w:rPr>
                <w:b w:val="0"/>
                <w:i w:val="0"/>
                <w:sz w:val="20"/>
              </w:rPr>
              <w:t>La solución: NuevaMente</w:t>
            </w:r>
          </w:p>
        </w:tc>
        <w:tc>
          <w:tcPr>
            <w:tcW w:type="dxa" w:w="964"/>
          </w:tcPr>
          <w:p>
            <w:pPr>
              <w:spacing w:after="0"/>
            </w:pPr>
            <w:r/>
            <w:r>
              <w:rPr>
                <w:b w:val="0"/>
                <w:i w:val="0"/>
                <w:sz w:val="20"/>
              </w:rPr>
              <w:t>1:00</w:t>
            </w:r>
          </w:p>
        </w:tc>
        <w:tc>
          <w:tcPr>
            <w:tcW w:type="dxa" w:w="3969"/>
          </w:tcPr>
          <w:p>
            <w:pPr>
              <w:spacing w:after="0"/>
            </w:pPr>
            <w:r/>
            <w:r>
              <w:rPr>
                <w:b w:val="0"/>
                <w:i w:val="0"/>
                <w:sz w:val="20"/>
              </w:rPr>
              <w:t>Diana Dure (QA)</w:t>
            </w:r>
          </w:p>
        </w:tc>
      </w:tr>
      <w:tr>
        <w:tc>
          <w:tcPr>
            <w:tcW w:type="dxa" w:w="850"/>
          </w:tcPr>
          <w:p>
            <w:pPr>
              <w:spacing w:after="0"/>
            </w:pPr>
            <w:r/>
            <w:r>
              <w:rPr>
                <w:b/>
                <w:i w:val="0"/>
                <w:sz w:val="20"/>
              </w:rPr>
              <w:t>4</w:t>
            </w:r>
          </w:p>
        </w:tc>
        <w:tc>
          <w:tcPr>
            <w:tcW w:type="dxa" w:w="3628"/>
          </w:tcPr>
          <w:p>
            <w:pPr>
              <w:spacing w:after="0"/>
            </w:pPr>
            <w:r/>
            <w:r>
              <w:rPr>
                <w:b w:val="0"/>
                <w:i w:val="0"/>
                <w:sz w:val="20"/>
              </w:rPr>
              <w:t>Demo en vivo</w:t>
            </w:r>
          </w:p>
        </w:tc>
        <w:tc>
          <w:tcPr>
            <w:tcW w:type="dxa" w:w="964"/>
          </w:tcPr>
          <w:p>
            <w:pPr>
              <w:spacing w:after="0"/>
            </w:pPr>
            <w:r/>
            <w:r>
              <w:rPr>
                <w:b w:val="0"/>
                <w:i w:val="0"/>
                <w:sz w:val="20"/>
              </w:rPr>
              <w:t>4:00</w:t>
            </w:r>
          </w:p>
        </w:tc>
        <w:tc>
          <w:tcPr>
            <w:tcW w:type="dxa" w:w="3969"/>
          </w:tcPr>
          <w:p>
            <w:pPr>
              <w:spacing w:after="0"/>
            </w:pPr>
            <w:r/>
            <w:r>
              <w:rPr>
                <w:b w:val="0"/>
                <w:i w:val="0"/>
                <w:sz w:val="20"/>
              </w:rPr>
              <w:t>Dario Higuera (interfaz) + Ethan Espinoza (API)</w:t>
            </w:r>
          </w:p>
        </w:tc>
      </w:tr>
      <w:tr>
        <w:tc>
          <w:tcPr>
            <w:tcW w:type="dxa" w:w="850"/>
          </w:tcPr>
          <w:p>
            <w:pPr>
              <w:spacing w:after="0"/>
            </w:pPr>
            <w:r/>
            <w:r>
              <w:rPr>
                <w:b/>
                <w:i w:val="0"/>
                <w:sz w:val="20"/>
              </w:rPr>
              <w:t>5</w:t>
            </w:r>
          </w:p>
        </w:tc>
        <w:tc>
          <w:tcPr>
            <w:tcW w:type="dxa" w:w="3628"/>
          </w:tcPr>
          <w:p>
            <w:pPr>
              <w:spacing w:after="0"/>
            </w:pPr>
            <w:r/>
            <w:r>
              <w:rPr>
                <w:b w:val="0"/>
                <w:i w:val="0"/>
                <w:sz w:val="20"/>
              </w:rPr>
              <w:t>Cómo funciona por dentro</w:t>
            </w:r>
          </w:p>
        </w:tc>
        <w:tc>
          <w:tcPr>
            <w:tcW w:type="dxa" w:w="964"/>
          </w:tcPr>
          <w:p>
            <w:pPr>
              <w:spacing w:after="0"/>
            </w:pPr>
            <w:r/>
            <w:r>
              <w:rPr>
                <w:b w:val="0"/>
                <w:i w:val="0"/>
                <w:sz w:val="20"/>
              </w:rPr>
              <w:t>1:30</w:t>
            </w:r>
          </w:p>
        </w:tc>
        <w:tc>
          <w:tcPr>
            <w:tcW w:type="dxa" w:w="3969"/>
          </w:tcPr>
          <w:p>
            <w:pPr>
              <w:spacing w:after="0"/>
            </w:pPr>
            <w:r/>
            <w:r>
              <w:rPr>
                <w:b w:val="0"/>
                <w:i w:val="0"/>
                <w:sz w:val="20"/>
              </w:rPr>
              <w:t>Bryan Infante (IA) y Gaspar Martinez (datos)</w:t>
            </w:r>
          </w:p>
        </w:tc>
      </w:tr>
      <w:tr>
        <w:tc>
          <w:tcPr>
            <w:tcW w:type="dxa" w:w="850"/>
          </w:tcPr>
          <w:p>
            <w:pPr>
              <w:spacing w:after="0"/>
            </w:pPr>
            <w:r/>
            <w:r>
              <w:rPr>
                <w:b/>
                <w:i w:val="0"/>
                <w:sz w:val="20"/>
              </w:rPr>
              <w:t>6</w:t>
            </w:r>
          </w:p>
        </w:tc>
        <w:tc>
          <w:tcPr>
            <w:tcW w:type="dxa" w:w="3628"/>
          </w:tcPr>
          <w:p>
            <w:pPr>
              <w:spacing w:after="0"/>
            </w:pPr>
            <w:r/>
            <w:r>
              <w:rPr>
                <w:b w:val="0"/>
                <w:i w:val="0"/>
                <w:sz w:val="20"/>
              </w:rPr>
              <w:t>Confianza: fidelidad y Salud</w:t>
            </w:r>
          </w:p>
        </w:tc>
        <w:tc>
          <w:tcPr>
            <w:tcW w:type="dxa" w:w="964"/>
          </w:tcPr>
          <w:p>
            <w:pPr>
              <w:spacing w:after="0"/>
            </w:pPr>
            <w:r/>
            <w:r>
              <w:rPr>
                <w:b w:val="0"/>
                <w:i w:val="0"/>
                <w:sz w:val="20"/>
              </w:rPr>
              <w:t>1:15</w:t>
            </w:r>
          </w:p>
        </w:tc>
        <w:tc>
          <w:tcPr>
            <w:tcW w:type="dxa" w:w="3969"/>
          </w:tcPr>
          <w:p>
            <w:pPr>
              <w:spacing w:after="0"/>
            </w:pPr>
            <w:r/>
            <w:r>
              <w:rPr>
                <w:b w:val="0"/>
                <w:i w:val="0"/>
                <w:sz w:val="20"/>
              </w:rPr>
              <w:t>Adrian Gil (ML)</w:t>
            </w:r>
          </w:p>
        </w:tc>
      </w:tr>
      <w:tr>
        <w:tc>
          <w:tcPr>
            <w:tcW w:type="dxa" w:w="850"/>
          </w:tcPr>
          <w:p>
            <w:pPr>
              <w:spacing w:after="0"/>
            </w:pPr>
            <w:r/>
            <w:r>
              <w:rPr>
                <w:b/>
                <w:i w:val="0"/>
                <w:sz w:val="20"/>
              </w:rPr>
              <w:t>7</w:t>
            </w:r>
          </w:p>
        </w:tc>
        <w:tc>
          <w:tcPr>
            <w:tcW w:type="dxa" w:w="3628"/>
          </w:tcPr>
          <w:p>
            <w:pPr>
              <w:spacing w:after="0"/>
            </w:pPr>
            <w:r/>
            <w:r>
              <w:rPr>
                <w:b w:val="0"/>
                <w:i w:val="0"/>
                <w:sz w:val="20"/>
              </w:rPr>
              <w:t>Resultados y calidad</w:t>
            </w:r>
          </w:p>
        </w:tc>
        <w:tc>
          <w:tcPr>
            <w:tcW w:type="dxa" w:w="964"/>
          </w:tcPr>
          <w:p>
            <w:pPr>
              <w:spacing w:after="0"/>
            </w:pPr>
            <w:r/>
            <w:r>
              <w:rPr>
                <w:b w:val="0"/>
                <w:i w:val="0"/>
                <w:sz w:val="20"/>
              </w:rPr>
              <w:t>0:45</w:t>
            </w:r>
          </w:p>
        </w:tc>
        <w:tc>
          <w:tcPr>
            <w:tcW w:type="dxa" w:w="3969"/>
          </w:tcPr>
          <w:p>
            <w:pPr>
              <w:spacing w:after="0"/>
            </w:pPr>
            <w:r/>
            <w:r>
              <w:rPr>
                <w:b w:val="0"/>
                <w:i w:val="0"/>
                <w:sz w:val="20"/>
              </w:rPr>
              <w:t>Diana Dure (QA)</w:t>
            </w:r>
          </w:p>
        </w:tc>
      </w:tr>
      <w:tr>
        <w:tc>
          <w:tcPr>
            <w:tcW w:type="dxa" w:w="850"/>
          </w:tcPr>
          <w:p>
            <w:pPr>
              <w:spacing w:after="0"/>
            </w:pPr>
            <w:r/>
            <w:r>
              <w:rPr>
                <w:b/>
                <w:i w:val="0"/>
                <w:sz w:val="20"/>
              </w:rPr>
              <w:t>8</w:t>
            </w:r>
          </w:p>
        </w:tc>
        <w:tc>
          <w:tcPr>
            <w:tcW w:type="dxa" w:w="3628"/>
          </w:tcPr>
          <w:p>
            <w:pPr>
              <w:spacing w:after="0"/>
            </w:pPr>
            <w:r/>
            <w:r>
              <w:rPr>
                <w:b w:val="0"/>
                <w:i w:val="0"/>
                <w:sz w:val="20"/>
              </w:rPr>
              <w:t>Nube y despliegue</w:t>
            </w:r>
          </w:p>
        </w:tc>
        <w:tc>
          <w:tcPr>
            <w:tcW w:type="dxa" w:w="964"/>
          </w:tcPr>
          <w:p>
            <w:pPr>
              <w:spacing w:after="0"/>
            </w:pPr>
            <w:r/>
            <w:r>
              <w:rPr>
                <w:b w:val="0"/>
                <w:i w:val="0"/>
                <w:sz w:val="20"/>
              </w:rPr>
              <w:t>0:45</w:t>
            </w:r>
          </w:p>
        </w:tc>
        <w:tc>
          <w:tcPr>
            <w:tcW w:type="dxa" w:w="3969"/>
          </w:tcPr>
          <w:p>
            <w:pPr>
              <w:spacing w:after="0"/>
            </w:pPr>
            <w:r/>
            <w:r>
              <w:rPr>
                <w:b w:val="0"/>
                <w:i w:val="0"/>
                <w:sz w:val="20"/>
              </w:rPr>
              <w:t>Gaspar Martinez / Ethan Espinoza</w:t>
            </w:r>
          </w:p>
        </w:tc>
      </w:tr>
      <w:tr>
        <w:tc>
          <w:tcPr>
            <w:tcW w:type="dxa" w:w="850"/>
          </w:tcPr>
          <w:p>
            <w:pPr>
              <w:spacing w:after="0"/>
            </w:pPr>
            <w:r/>
            <w:r>
              <w:rPr>
                <w:b/>
                <w:i w:val="0"/>
                <w:sz w:val="20"/>
              </w:rPr>
              <w:t>9</w:t>
            </w:r>
          </w:p>
        </w:tc>
        <w:tc>
          <w:tcPr>
            <w:tcW w:type="dxa" w:w="3628"/>
          </w:tcPr>
          <w:p>
            <w:pPr>
              <w:spacing w:after="0"/>
            </w:pPr>
            <w:r/>
            <w:r>
              <w:rPr>
                <w:b w:val="0"/>
                <w:i w:val="0"/>
                <w:sz w:val="20"/>
              </w:rPr>
              <w:t>Cierre</w:t>
            </w:r>
          </w:p>
        </w:tc>
        <w:tc>
          <w:tcPr>
            <w:tcW w:type="dxa" w:w="964"/>
          </w:tcPr>
          <w:p>
            <w:pPr>
              <w:spacing w:after="0"/>
            </w:pPr>
            <w:r/>
            <w:r>
              <w:rPr>
                <w:b w:val="0"/>
                <w:i w:val="0"/>
                <w:sz w:val="20"/>
              </w:rPr>
              <w:t>1:00</w:t>
            </w:r>
          </w:p>
        </w:tc>
        <w:tc>
          <w:tcPr>
            <w:tcW w:type="dxa" w:w="3969"/>
          </w:tcPr>
          <w:p>
            <w:pPr>
              <w:spacing w:after="0"/>
            </w:pPr>
            <w:r/>
            <w:r>
              <w:rPr>
                <w:b w:val="0"/>
                <w:i w:val="0"/>
                <w:sz w:val="20"/>
              </w:rPr>
              <w:t>Juan Pablo Calla (PM)</w:t>
            </w:r>
          </w:p>
        </w:tc>
      </w:tr>
    </w:tbl>
    <w:p>
      <w:pPr>
        <w:spacing w:after="40"/>
      </w:pPr>
    </w:p>
    <w:p>
      <w:pPr>
        <w:pStyle w:val="Heading2"/>
      </w:pPr>
      <w:r>
        <w:t>Cifras clave (para tener a mano)</w:t>
      </w:r>
    </w:p>
    <w:p>
      <w:pPr>
        <w:pStyle w:val="ListBullet"/>
      </w:pPr>
      <w:r>
        <w:rPr>
          <w:b/>
          <w:i w:val="0"/>
        </w:rPr>
        <w:t>4 perfiles · 6 formatos · 5 sectores · 3 niveles de detalle</w:t>
      </w:r>
      <w:r>
        <w:rPr>
          <w:b w:val="0"/>
          <w:i w:val="0"/>
        </w:rPr>
        <w:t xml:space="preserve"> a partir del mismo documento.</w:t>
      </w:r>
    </w:p>
    <w:p>
      <w:pPr>
        <w:pStyle w:val="ListBullet"/>
      </w:pPr>
      <w:r>
        <w:rPr>
          <w:b/>
          <w:i w:val="0"/>
        </w:rPr>
        <w:t xml:space="preserve">Formatos: </w:t>
      </w:r>
      <w:r>
        <w:rPr>
          <w:b w:val="0"/>
          <w:i w:val="0"/>
        </w:rPr>
        <w:t>Guía Paso a Paso (Tutorial), Flashcards de Memorización, Quiz Interactivo con Justificaciones, Resumen Ejecutivo (TL;DR), Guion de Clase con video narrado y Podcast.</w:t>
      </w:r>
    </w:p>
    <w:p>
      <w:pPr>
        <w:pStyle w:val="ListBullet"/>
      </w:pPr>
      <w:r>
        <w:rPr>
          <w:b/>
          <w:i w:val="0"/>
        </w:rPr>
        <w:t xml:space="preserve">Fidelidad: </w:t>
      </w:r>
      <w:r>
        <w:rPr>
          <w:b w:val="0"/>
          <w:i w:val="0"/>
        </w:rPr>
        <w:t>cada afirmación se verifica contra el documento; umbral 0,85 en general y 0,90 en Salud.</w:t>
      </w:r>
    </w:p>
    <w:p>
      <w:pPr>
        <w:pStyle w:val="ListBullet"/>
      </w:pPr>
      <w:r>
        <w:rPr>
          <w:b/>
          <w:i w:val="0"/>
        </w:rPr>
        <w:t xml:space="preserve">Demo con Gemini: </w:t>
      </w:r>
      <w:r>
        <w:rPr>
          <w:b w:val="0"/>
          <w:i w:val="0"/>
        </w:rPr>
        <w:t>3 escenarios de Salud aprobados con fidelidad 1,00 · 1,00 · 0,92.</w:t>
      </w:r>
    </w:p>
    <w:p>
      <w:pPr>
        <w:pStyle w:val="ListBullet"/>
      </w:pPr>
      <w:r>
        <w:rPr>
          <w:b/>
          <w:i w:val="0"/>
        </w:rPr>
        <w:t xml:space="preserve">Calidad: </w:t>
      </w:r>
      <w:r>
        <w:rPr>
          <w:b w:val="0"/>
          <w:i w:val="0"/>
        </w:rPr>
        <w:t>263 pruebas automatizadas que pasan sin red ni credenciales.</w:t>
      </w:r>
    </w:p>
    <w:p>
      <w:pPr>
        <w:pStyle w:val="ListBullet"/>
      </w:pPr>
      <w:r>
        <w:rPr>
          <w:b/>
          <w:i w:val="0"/>
        </w:rPr>
        <w:t xml:space="preserve">Exporta a </w:t>
      </w:r>
      <w:r>
        <w:rPr>
          <w:b w:val="0"/>
          <w:i w:val="0"/>
        </w:rPr>
        <w:t>Word, PDF, PowerPoint, Markdown, Anki, video MP4 y audio MP3.</w:t>
      </w:r>
    </w:p>
    <w:p>
      <w:pPr>
        <w:pStyle w:val="ListBullet"/>
      </w:pPr>
      <w:r>
        <w:rPr>
          <w:b/>
          <w:i w:val="0"/>
        </w:rPr>
        <w:t xml:space="preserve">Tecnología: </w:t>
      </w:r>
      <w:r>
        <w:rPr>
          <w:b w:val="0"/>
          <w:i w:val="0"/>
        </w:rPr>
        <w:t>RAG con embeddings de Gemini, orquestación con LangGraph, FastAPI, OCI Object Storage.</w:t>
      </w:r>
    </w:p>
    <w:p>
      <w:pPr>
        <w:pStyle w:val="Heading1"/>
      </w:pPr>
      <w:r>
        <w:t>Guion de la exposición</w:t>
      </w:r>
    </w:p>
    <w:p>
      <w:pPr>
        <w:pStyle w:val="Heading2"/>
      </w:pPr>
      <w:r>
        <w:t>1. Apertura y equipo</w:t>
      </w:r>
    </w:p>
    <w:p>
      <w:r>
        <w:rPr>
          <w:b/>
          <w:i w:val="0"/>
          <w:color w:val="E05A3A"/>
          <w:sz w:val="20"/>
        </w:rPr>
        <w:t>⏱ 0:45   ·   🎤 Juan Pablo Calla (PM)</w:t>
      </w:r>
    </w:p>
    <w:tbl>
      <w:tblPr>
        <w:tblW w:type="auto" w:w="0"/>
        <w:tblLayout w:type="fixed"/>
        <w:tblLook w:firstColumn="1" w:firstRow="1" w:lastColumn="0" w:lastRow="0" w:noHBand="0" w:noVBand="1" w:val="04A0"/>
        <w:tblBorders>
          <w:top w:val="single" w:sz="4" w:color="E2DCF5"/>
          <w:left w:val="single" w:sz="4" w:color="E2DCF5"/>
          <w:bottom w:val="single" w:sz="4" w:color="E2DCF5"/>
          <w:right w:val="single" w:sz="4" w:color="E2DCF5"/>
          <w:insideH w:val="single" w:sz="4" w:color="E2DCF5"/>
          <w:insideV w:val="single" w:sz="4" w:color="E2DCF5"/>
        </w:tblBorders>
      </w:tblPr>
      <w:tblGrid>
        <w:gridCol w:w="9412"/>
      </w:tblGrid>
      <w:tr>
        <w:tc>
          <w:tcPr>
            <w:tcW w:type="dxa" w:w="9411"/>
            <w:shd w:val="clear" w:color="auto" w:fill="F3F0FB"/>
          </w:tcPr>
          <w:p>
            <w:r/>
            <w:r>
              <w:rPr>
                <w:b/>
                <w:i w:val="0"/>
                <w:color w:val="6E6480"/>
                <w:sz w:val="18"/>
              </w:rPr>
              <w:t>LO QUE SE DICE</w:t>
            </w:r>
          </w:p>
          <w:p>
            <w:pPr>
              <w:spacing w:after="80"/>
            </w:pPr>
            <w:r>
              <w:rPr>
                <w:b w:val="0"/>
                <w:i/>
                <w:color w:val="E05A3A"/>
                <w:sz w:val="20"/>
              </w:rPr>
              <w:t>[Pantalla: portada con el logo de Kairos y el nombre del equipo]</w:t>
            </w:r>
          </w:p>
          <w:p>
            <w:pPr>
              <w:spacing w:after="80"/>
            </w:pPr>
            <w:r>
              <w:rPr>
                <w:b w:val="0"/>
                <w:i w:val="0"/>
                <w:sz w:val="23"/>
              </w:rPr>
              <w:t>Buenas tardes. Somos Kairos G10, del grupo 10 de Oracle Next Education. Yo soy Juan Pablo Calla, el project manager, y me acompañan Gaspar, Bryan, Adrian, Ethan, Dario y Diana.</w:t>
            </w:r>
          </w:p>
          <w:p>
            <w:pPr>
              <w:spacing w:after="80"/>
            </w:pPr>
            <w:r>
              <w:rPr>
                <w:b w:val="0"/>
                <w:i w:val="0"/>
                <w:sz w:val="23"/>
              </w:rPr>
              <w:t>En los próximos minutos les vamos a mostrar NuevaMente: una aplicación que toma un documento técnico y lo convierte en material de estudio pensado para la persona que lo va a leer, sin inventar nada que el documento no diga.</w:t>
            </w:r>
          </w:p>
        </w:tc>
      </w:tr>
    </w:tbl>
    <w:p>
      <w:pPr>
        <w:spacing w:after="40"/>
      </w:pPr>
    </w:p>
    <w:p>
      <w:pPr>
        <w:pStyle w:val="Heading2"/>
      </w:pPr>
      <w:r>
        <w:t>2. El problema</w:t>
      </w:r>
    </w:p>
    <w:p>
      <w:r>
        <w:rPr>
          <w:b/>
          <w:i w:val="0"/>
          <w:color w:val="E05A3A"/>
          <w:sz w:val="20"/>
        </w:rPr>
        <w:t>⏱ 1:00   ·   🎤 Juan Pablo Calla (PM)</w:t>
      </w:r>
    </w:p>
    <w:tbl>
      <w:tblPr>
        <w:tblW w:type="auto" w:w="0"/>
        <w:tblLayout w:type="fixed"/>
        <w:tblLook w:firstColumn="1" w:firstRow="1" w:lastColumn="0" w:lastRow="0" w:noHBand="0" w:noVBand="1" w:val="04A0"/>
        <w:tblBorders>
          <w:top w:val="single" w:sz="4" w:color="E2DCF5"/>
          <w:left w:val="single" w:sz="4" w:color="E2DCF5"/>
          <w:bottom w:val="single" w:sz="4" w:color="E2DCF5"/>
          <w:right w:val="single" w:sz="4" w:color="E2DCF5"/>
          <w:insideH w:val="single" w:sz="4" w:color="E2DCF5"/>
          <w:insideV w:val="single" w:sz="4" w:color="E2DCF5"/>
        </w:tblBorders>
      </w:tblPr>
      <w:tblGrid>
        <w:gridCol w:w="9412"/>
      </w:tblGrid>
      <w:tr>
        <w:tc>
          <w:tcPr>
            <w:tcW w:type="dxa" w:w="9411"/>
            <w:shd w:val="clear" w:color="auto" w:fill="F3F0FB"/>
          </w:tcPr>
          <w:p>
            <w:r/>
            <w:r>
              <w:rPr>
                <w:b/>
                <w:i w:val="0"/>
                <w:color w:val="6E6480"/>
                <w:sz w:val="18"/>
              </w:rPr>
              <w:t>LO QUE SE DICE</w:t>
            </w:r>
          </w:p>
          <w:p>
            <w:pPr>
              <w:spacing w:after="80"/>
            </w:pPr>
            <w:r>
              <w:rPr>
                <w:b w:val="0"/>
                <w:i/>
                <w:color w:val="E05A3A"/>
                <w:sz w:val="20"/>
              </w:rPr>
              <w:t>[Pantalla: un PDF técnico largo, por ejemplo un protocolo de bioseguridad]</w:t>
            </w:r>
          </w:p>
          <w:p>
            <w:pPr>
              <w:spacing w:after="80"/>
            </w:pPr>
            <w:r>
              <w:rPr>
                <w:b w:val="0"/>
                <w:i w:val="0"/>
                <w:sz w:val="23"/>
              </w:rPr>
              <w:t>Piensen en un hospital que actualiza su protocolo de bioseguridad. El documento existe, pero hay que enseñarlo a personas muy distintas: al personal que recién ingresa, al equipo que tiene que certificarse y a la dirección, que necesita decidir en cinco minutos.</w:t>
            </w:r>
          </w:p>
          <w:p>
            <w:pPr>
              <w:spacing w:after="80"/>
            </w:pPr>
            <w:r>
              <w:rPr>
                <w:b w:val="0"/>
                <w:i w:val="0"/>
                <w:sz w:val="23"/>
              </w:rPr>
              <w:t>Hoy eso se resuelve a mano: alguien lee el documento y prepara tarjetas, evaluaciones y resúmenes para cada público. Lleva semanas. Y cuando se usa inteligencia artificial para acelerarlo aparece otro riesgo: que la IA invente datos. En Salud, un dato inventado no es un detalle; es un problema.</w:t>
            </w:r>
          </w:p>
          <w:p>
            <w:pPr>
              <w:spacing w:after="80"/>
            </w:pPr>
            <w:r>
              <w:rPr>
                <w:b w:val="0"/>
                <w:i w:val="0"/>
                <w:sz w:val="23"/>
              </w:rPr>
              <w:t>Por eso elegimos Salud como nicho de foco: es donde más importa que el material sea fiel a la fuente.</w:t>
            </w:r>
          </w:p>
        </w:tc>
      </w:tr>
    </w:tbl>
    <w:p>
      <w:pPr>
        <w:spacing w:after="40"/>
      </w:pPr>
    </w:p>
    <w:p>
      <w:pPr>
        <w:pStyle w:val="Heading2"/>
      </w:pPr>
      <w:r>
        <w:t>3. La solución: NuevaMente</w:t>
      </w:r>
    </w:p>
    <w:p>
      <w:r>
        <w:rPr>
          <w:b/>
          <w:i w:val="0"/>
          <w:color w:val="E05A3A"/>
          <w:sz w:val="20"/>
        </w:rPr>
        <w:t>⏱ 1:00   ·   🎤 Diana Dure (QA)</w:t>
      </w:r>
    </w:p>
    <w:tbl>
      <w:tblPr>
        <w:tblW w:type="auto" w:w="0"/>
        <w:tblLayout w:type="fixed"/>
        <w:tblLook w:firstColumn="1" w:firstRow="1" w:lastColumn="0" w:lastRow="0" w:noHBand="0" w:noVBand="1" w:val="04A0"/>
        <w:tblBorders>
          <w:top w:val="single" w:sz="4" w:color="E2DCF5"/>
          <w:left w:val="single" w:sz="4" w:color="E2DCF5"/>
          <w:bottom w:val="single" w:sz="4" w:color="E2DCF5"/>
          <w:right w:val="single" w:sz="4" w:color="E2DCF5"/>
          <w:insideH w:val="single" w:sz="4" w:color="E2DCF5"/>
          <w:insideV w:val="single" w:sz="4" w:color="E2DCF5"/>
        </w:tblBorders>
      </w:tblPr>
      <w:tblGrid>
        <w:gridCol w:w="9412"/>
      </w:tblGrid>
      <w:tr>
        <w:tc>
          <w:tcPr>
            <w:tcW w:type="dxa" w:w="9411"/>
            <w:shd w:val="clear" w:color="auto" w:fill="F3F0FB"/>
          </w:tcPr>
          <w:p>
            <w:r/>
            <w:r>
              <w:rPr>
                <w:b/>
                <w:i w:val="0"/>
                <w:color w:val="6E6480"/>
                <w:sz w:val="18"/>
              </w:rPr>
              <w:t>LO QUE SE DICE</w:t>
            </w:r>
          </w:p>
          <w:p>
            <w:pPr>
              <w:spacing w:after="80"/>
            </w:pPr>
            <w:r>
              <w:rPr>
                <w:b w:val="0"/>
                <w:i/>
                <w:color w:val="E05A3A"/>
                <w:sz w:val="20"/>
              </w:rPr>
              <w:t>[Pantalla: la interfaz de Kairos, paso 1 «Tu documento»]</w:t>
            </w:r>
          </w:p>
          <w:p>
            <w:pPr>
              <w:spacing w:after="80"/>
            </w:pPr>
            <w:r>
              <w:rPr>
                <w:b w:val="0"/>
                <w:i w:val="0"/>
                <w:sz w:val="23"/>
              </w:rPr>
              <w:t>NuevaMente recibe el documento en PDF, Word, Markdown o texto, incluso un PDF escaneado, y pide tres decisiones: para quién es, cómo se quiere aprender y de qué sector se trata.</w:t>
            </w:r>
          </w:p>
          <w:p>
            <w:pPr>
              <w:spacing w:after="80"/>
            </w:pPr>
            <w:r>
              <w:rPr>
                <w:b w:val="0"/>
                <w:i w:val="0"/>
                <w:sz w:val="23"/>
              </w:rPr>
              <w:t>Con eso genera seis formatos: una guía paso a paso, flashcards para memorizar, un quiz interactivo con justificaciones, un resumen ejecutivo, un guion de clase que se convierte en video narrado y un podcast.</w:t>
            </w:r>
          </w:p>
          <w:p>
            <w:pPr>
              <w:spacing w:after="80"/>
            </w:pPr>
            <w:r>
              <w:rPr>
                <w:b w:val="0"/>
                <w:i w:val="0"/>
                <w:sz w:val="23"/>
              </w:rPr>
              <w:t>Y lo más importante: cada afirmación que aparece en el material se comprueba contra el documento original. Si algo no está en la fuente, el sistema lo marca.</w:t>
            </w:r>
          </w:p>
        </w:tc>
      </w:tr>
    </w:tbl>
    <w:p>
      <w:pPr>
        <w:spacing w:after="40"/>
      </w:pPr>
    </w:p>
    <w:p>
      <w:pPr>
        <w:pStyle w:val="Heading2"/>
      </w:pPr>
      <w:r>
        <w:t>4. Demo en vivo</w:t>
      </w:r>
    </w:p>
    <w:p>
      <w:r>
        <w:rPr>
          <w:b/>
          <w:i w:val="0"/>
          <w:color w:val="E05A3A"/>
          <w:sz w:val="20"/>
        </w:rPr>
        <w:t>⏱ 4:00   ·   🎤 Dario Higuera (interfaz) y Ethan Espinoza (API)</w:t>
      </w:r>
    </w:p>
    <w:tbl>
      <w:tblPr>
        <w:tblW w:type="auto" w:w="0"/>
        <w:tblLayout w:type="fixed"/>
        <w:tblLook w:firstColumn="1" w:firstRow="1" w:lastColumn="0" w:lastRow="0" w:noHBand="0" w:noVBand="1" w:val="04A0"/>
        <w:tblBorders>
          <w:top w:val="single" w:sz="4" w:color="E2DCF5"/>
          <w:left w:val="single" w:sz="4" w:color="E2DCF5"/>
          <w:bottom w:val="single" w:sz="4" w:color="E2DCF5"/>
          <w:right w:val="single" w:sz="4" w:color="E2DCF5"/>
          <w:insideH w:val="single" w:sz="4" w:color="E2DCF5"/>
          <w:insideV w:val="single" w:sz="4" w:color="E2DCF5"/>
        </w:tblBorders>
      </w:tblPr>
      <w:tblGrid>
        <w:gridCol w:w="9412"/>
      </w:tblGrid>
      <w:tr>
        <w:tc>
          <w:tcPr>
            <w:tcW w:type="dxa" w:w="9411"/>
            <w:shd w:val="clear" w:color="auto" w:fill="F3F0FB"/>
          </w:tcPr>
          <w:p>
            <w:r/>
            <w:r>
              <w:rPr>
                <w:b/>
                <w:i w:val="0"/>
                <w:color w:val="6E6480"/>
                <w:sz w:val="18"/>
              </w:rPr>
              <w:t>LO QUE SE DICE</w:t>
            </w:r>
          </w:p>
          <w:p>
            <w:pPr>
              <w:spacing w:after="80"/>
            </w:pPr>
            <w:r>
              <w:rPr>
                <w:b w:val="0"/>
                <w:i/>
                <w:color w:val="E05A3A"/>
                <w:sz w:val="20"/>
              </w:rPr>
              <w:t>[Pantalla: interfaz. Subir docs/demo/protocolo_bioseguridad_salud.md o pegar el documento de ejemplo]</w:t>
            </w:r>
          </w:p>
          <w:p>
            <w:pPr>
              <w:spacing w:after="80"/>
            </w:pPr>
            <w:r>
              <w:rPr>
                <w:b w:val="0"/>
                <w:i w:val="0"/>
                <w:sz w:val="23"/>
              </w:rPr>
              <w:t>Vamos a usar un protocolo de bioseguridad que escribió el equipo, sin datos de pacientes.</w:t>
            </w:r>
          </w:p>
          <w:p>
            <w:pPr>
              <w:spacing w:after="80"/>
            </w:pPr>
            <w:r>
              <w:rPr>
                <w:b w:val="0"/>
                <w:i/>
                <w:color w:val="E05A3A"/>
                <w:sz w:val="20"/>
              </w:rPr>
              <w:t>[Elegir perfil Inicial/Básico, formato Flashcards, sector Salud. Aceptar el aviso legal. Crear]</w:t>
            </w:r>
          </w:p>
          <w:p>
            <w:pPr>
              <w:spacing w:after="80"/>
            </w:pPr>
            <w:r>
              <w:rPr>
                <w:b w:val="0"/>
                <w:i w:val="0"/>
                <w:sz w:val="23"/>
              </w:rPr>
              <w:t>Primero, para personal clínico que recién ingresa: flashcards. Mientras se genera, la barra muestra las etapas: leer el documento, buscar la evidencia de cada sección, redactar y verificar.</w:t>
            </w:r>
          </w:p>
          <w:p>
            <w:pPr>
              <w:spacing w:after="80"/>
            </w:pPr>
            <w:r>
              <w:rPr>
                <w:b w:val="0"/>
                <w:i/>
                <w:color w:val="E05A3A"/>
                <w:sz w:val="20"/>
              </w:rPr>
              <w:t>[Voltear dos tarjetas. Abrir la pestaña Fidelidad]</w:t>
            </w:r>
          </w:p>
          <w:p>
            <w:pPr>
              <w:spacing w:after="80"/>
            </w:pPr>
            <w:r>
              <w:rPr>
                <w:b w:val="0"/>
                <w:i w:val="0"/>
                <w:sz w:val="23"/>
              </w:rPr>
              <w:t>Cada tarjeta sale de una sección del documento. En la pestaña Fidelidad vemos el porcentaje de afirmaciones respaldadas y si el Crítico aprobó el material. En Salud exigimos un 90 %.</w:t>
            </w:r>
          </w:p>
          <w:p>
            <w:pPr>
              <w:spacing w:after="80"/>
            </w:pPr>
            <w:r>
              <w:rPr>
                <w:b w:val="0"/>
                <w:i/>
                <w:color w:val="E05A3A"/>
                <w:sz w:val="20"/>
              </w:rPr>
              <w:t>[Volver al formulario. Mismo documento: perfil Experto/Directivo, formato Resumen Ejecutivo. Crear]</w:t>
            </w:r>
          </w:p>
          <w:p>
            <w:pPr>
              <w:spacing w:after="80"/>
            </w:pPr>
            <w:r>
              <w:rPr>
                <w:b w:val="0"/>
                <w:i w:val="0"/>
                <w:sz w:val="23"/>
              </w:rPr>
              <w:t>Ahora el mismo documento para la dirección: un resumen ejecutivo, con la idea central, los puntos clave, riesgos y recomendaciones. Mismo contenido, otro lenguaje y otra profundidad.</w:t>
            </w:r>
          </w:p>
          <w:p>
            <w:pPr>
              <w:spacing w:after="80"/>
            </w:pPr>
            <w:r>
              <w:rPr>
                <w:b w:val="0"/>
                <w:i/>
                <w:color w:val="E05A3A"/>
                <w:sz w:val="20"/>
              </w:rPr>
              <w:t>[Abrir el Quiz o el Guion de Clase ya generado desde el Historial; mostrar el botón de video o descargar el PDF]</w:t>
            </w:r>
          </w:p>
          <w:p>
            <w:pPr>
              <w:spacing w:after="80"/>
            </w:pPr>
            <w:r>
              <w:rPr>
                <w:b w:val="0"/>
                <w:i w:val="0"/>
                <w:sz w:val="23"/>
              </w:rPr>
              <w:t>Todo se puede llevar a clase: se descarga en Word, PDF o PowerPoint, el guion se convierte en un video narrado y el quiz se responde aquí mismo, con la justificación de cada respuesta.</w:t>
            </w:r>
          </w:p>
          <w:p>
            <w:pPr>
              <w:spacing w:after="80"/>
            </w:pPr>
            <w:r>
              <w:rPr>
                <w:b w:val="0"/>
                <w:i/>
                <w:color w:val="E05A3A"/>
                <w:sz w:val="20"/>
              </w:rPr>
              <w:t>[Ethan abre http://localhost:8000/docs y muestra POST /api/v1/adaptar con la solicitud del enunciado]</w:t>
            </w:r>
          </w:p>
          <w:p>
            <w:pPr>
              <w:spacing w:after="80"/>
            </w:pPr>
            <w:r>
              <w:rPr>
                <w:b w:val="0"/>
                <w:i w:val="0"/>
                <w:sz w:val="23"/>
              </w:rPr>
              <w:t>Para integrarlo con otras plataformas hay una API REST. Esta es la solicitud de ejemplo del enunciado, tal cual, y la respuesta tiene exactamente la estructura JSON que pidieron.</w:t>
            </w:r>
          </w:p>
        </w:tc>
      </w:tr>
    </w:tbl>
    <w:p>
      <w:pPr>
        <w:spacing w:after="40"/>
      </w:pPr>
    </w:p>
    <w:p>
      <w:pPr>
        <w:pStyle w:val="ListBullet"/>
      </w:pPr>
      <w:r>
        <w:rPr>
          <w:b w:val="0"/>
          <w:i w:val="0"/>
        </w:rPr>
        <w:t>Plan B si Gemini no responde (sin cuota): la app sigue funcionando con el generador local y lo avisa. Mostrar además los resultados guardados de la demo con Gemini en docs/demo/resultados/ (JSON y PDF).</w:t>
      </w:r>
    </w:p>
    <w:p>
      <w:pPr>
        <w:pStyle w:val="ListBullet"/>
      </w:pPr>
      <w:r>
        <w:rPr>
          <w:b w:val="0"/>
          <w:i w:val="0"/>
        </w:rPr>
        <w:t>Generar el material una vez antes de exponer: así el Historial ya tiene ejemplos para abrir al instante.</w:t>
      </w:r>
    </w:p>
    <w:p>
      <w:pPr>
        <w:pStyle w:val="Heading2"/>
      </w:pPr>
      <w:r>
        <w:t>5. Cómo funciona por dentro</w:t>
      </w:r>
    </w:p>
    <w:p>
      <w:r>
        <w:rPr>
          <w:b/>
          <w:i w:val="0"/>
          <w:color w:val="E05A3A"/>
          <w:sz w:val="20"/>
        </w:rPr>
        <w:t>⏱ 1:30   ·   🎤 Bryan Infante (IA) y Gaspar Martinez (datos)</w:t>
      </w:r>
    </w:p>
    <w:tbl>
      <w:tblPr>
        <w:tblW w:type="auto" w:w="0"/>
        <w:tblLayout w:type="fixed"/>
        <w:tblLook w:firstColumn="1" w:firstRow="1" w:lastColumn="0" w:lastRow="0" w:noHBand="0" w:noVBand="1" w:val="04A0"/>
        <w:tblBorders>
          <w:top w:val="single" w:sz="4" w:color="E2DCF5"/>
          <w:left w:val="single" w:sz="4" w:color="E2DCF5"/>
          <w:bottom w:val="single" w:sz="4" w:color="E2DCF5"/>
          <w:right w:val="single" w:sz="4" w:color="E2DCF5"/>
          <w:insideH w:val="single" w:sz="4" w:color="E2DCF5"/>
          <w:insideV w:val="single" w:sz="4" w:color="E2DCF5"/>
        </w:tblBorders>
      </w:tblPr>
      <w:tblGrid>
        <w:gridCol w:w="9412"/>
      </w:tblGrid>
      <w:tr>
        <w:tc>
          <w:tcPr>
            <w:tcW w:type="dxa" w:w="9411"/>
            <w:shd w:val="clear" w:color="auto" w:fill="F3F0FB"/>
          </w:tcPr>
          <w:p>
            <w:r/>
            <w:r>
              <w:rPr>
                <w:b/>
                <w:i w:val="0"/>
                <w:color w:val="6E6480"/>
                <w:sz w:val="18"/>
              </w:rPr>
              <w:t>LO QUE SE DICE</w:t>
            </w:r>
          </w:p>
          <w:p>
            <w:pPr>
              <w:spacing w:after="80"/>
            </w:pPr>
            <w:r>
              <w:rPr>
                <w:b w:val="0"/>
                <w:i/>
                <w:color w:val="E05A3A"/>
                <w:sz w:val="20"/>
              </w:rPr>
              <w:t>[Pantalla: diagrama del flujo de agentes del README]</w:t>
            </w:r>
          </w:p>
          <w:p>
            <w:pPr>
              <w:spacing w:after="80"/>
            </w:pPr>
            <w:r>
              <w:rPr>
                <w:b w:val="0"/>
                <w:i w:val="0"/>
                <w:sz w:val="23"/>
              </w:rPr>
              <w:t>Gaspar: el documento se divide en fragmentos con solapamiento y se reconocen sus secciones, incluso en PDF. Cada fragmento se convierte en un embedding semántico de Gemini, así que buscamos por significado y no solo por palabras. Si Gemini no está disponible, pasamos a un índice local sin interrumpir nada.</w:t>
            </w:r>
          </w:p>
          <w:p>
            <w:pPr>
              <w:spacing w:after="80"/>
            </w:pPr>
            <w:r>
              <w:rPr>
                <w:b w:val="0"/>
                <w:i w:val="0"/>
                <w:sz w:val="23"/>
              </w:rPr>
              <w:t>Bryan: la orquestación es un grafo de LangGraph con un agente por etapa. El Planificador decide qué secciones enseñar, el Investigador recupera evidencia de todas las secciones, no solo de las primeras, el Redactor escribe con Gemini usando instrucciones por perfil y ejemplos, y el Crítico verifica. Si el material no alcanza el umbral, el Crítico se lo devuelve al Redactor con lo que tiene que corregir.</w:t>
            </w:r>
          </w:p>
          <w:p>
            <w:pPr>
              <w:spacing w:after="80"/>
            </w:pPr>
            <w:r>
              <w:rPr>
                <w:b w:val="0"/>
                <w:i w:val="0"/>
                <w:sz w:val="23"/>
              </w:rPr>
              <w:t>Además, si un material ya fue aprobado, se puede servir desde un caché sin volver a gastar la IA.</w:t>
            </w:r>
          </w:p>
        </w:tc>
      </w:tr>
    </w:tbl>
    <w:p>
      <w:pPr>
        <w:spacing w:after="40"/>
      </w:pPr>
    </w:p>
    <w:p>
      <w:pPr>
        <w:pStyle w:val="Heading2"/>
      </w:pPr>
      <w:r>
        <w:t>6. Confianza: fidelidad y Salud</w:t>
      </w:r>
    </w:p>
    <w:p>
      <w:r>
        <w:rPr>
          <w:b/>
          <w:i w:val="0"/>
          <w:color w:val="E05A3A"/>
          <w:sz w:val="20"/>
        </w:rPr>
        <w:t>⏱ 1:15   ·   🎤 Adrian Gil (ML)</w:t>
      </w:r>
    </w:p>
    <w:tbl>
      <w:tblPr>
        <w:tblW w:type="auto" w:w="0"/>
        <w:tblLayout w:type="fixed"/>
        <w:tblLook w:firstColumn="1" w:firstRow="1" w:lastColumn="0" w:lastRow="0" w:noHBand="0" w:noVBand="1" w:val="04A0"/>
        <w:tblBorders>
          <w:top w:val="single" w:sz="4" w:color="E2DCF5"/>
          <w:left w:val="single" w:sz="4" w:color="E2DCF5"/>
          <w:bottom w:val="single" w:sz="4" w:color="E2DCF5"/>
          <w:right w:val="single" w:sz="4" w:color="E2DCF5"/>
          <w:insideH w:val="single" w:sz="4" w:color="E2DCF5"/>
          <w:insideV w:val="single" w:sz="4" w:color="E2DCF5"/>
        </w:tblBorders>
      </w:tblPr>
      <w:tblGrid>
        <w:gridCol w:w="9412"/>
      </w:tblGrid>
      <w:tr>
        <w:tc>
          <w:tcPr>
            <w:tcW w:type="dxa" w:w="9411"/>
            <w:shd w:val="clear" w:color="auto" w:fill="F3F0FB"/>
          </w:tcPr>
          <w:p>
            <w:r/>
            <w:r>
              <w:rPr>
                <w:b/>
                <w:i w:val="0"/>
                <w:color w:val="6E6480"/>
                <w:sz w:val="18"/>
              </w:rPr>
              <w:t>LO QUE SE DICE</w:t>
            </w:r>
          </w:p>
          <w:p>
            <w:pPr>
              <w:spacing w:after="80"/>
            </w:pPr>
            <w:r>
              <w:rPr>
                <w:b w:val="0"/>
                <w:i/>
                <w:color w:val="E05A3A"/>
                <w:sz w:val="20"/>
              </w:rPr>
              <w:t>[Pantalla: pestaña Fidelidad de un material]</w:t>
            </w:r>
          </w:p>
          <w:p>
            <w:pPr>
              <w:spacing w:after="80"/>
            </w:pPr>
            <w:r>
              <w:rPr>
                <w:b w:val="0"/>
                <w:i w:val="0"/>
                <w:sz w:val="23"/>
              </w:rPr>
              <w:t>El corazón del proyecto es que el material no invente. Cada afirmación cita el fragmento del que sale y se compara con él. Las dudosas las revisa un juez de IA, pero con una regla estricta: solo puede darlas por buenas si devuelve una cita textual, y esa cita la comprobamos en el código contra el documento. Una cita inventada no convence a nadie.</w:t>
            </w:r>
          </w:p>
          <w:p>
            <w:pPr>
              <w:spacing w:after="80"/>
            </w:pPr>
            <w:r>
              <w:rPr>
                <w:b w:val="0"/>
                <w:i w:val="0"/>
                <w:sz w:val="23"/>
              </w:rPr>
              <w:t>En Salud el umbral es más alto, la interfaz muestra un aviso de que el material no reemplaza a un profesional, y el documento se trata siempre como dato: si alguien esconde una instrucción dentro del texto, el sistema la ignora.</w:t>
            </w:r>
          </w:p>
        </w:tc>
      </w:tr>
    </w:tbl>
    <w:p>
      <w:pPr>
        <w:spacing w:after="40"/>
      </w:pPr>
    </w:p>
    <w:p>
      <w:pPr>
        <w:pStyle w:val="Heading2"/>
      </w:pPr>
      <w:r>
        <w:t>7. Resultados y calidad</w:t>
      </w:r>
    </w:p>
    <w:p>
      <w:r>
        <w:rPr>
          <w:b/>
          <w:i w:val="0"/>
          <w:color w:val="E05A3A"/>
          <w:sz w:val="20"/>
        </w:rPr>
        <w:t>⏱ 0:45   ·   🎤 Diana Dure (QA)</w:t>
      </w:r>
    </w:p>
    <w:tbl>
      <w:tblPr>
        <w:tblW w:type="auto" w:w="0"/>
        <w:tblLayout w:type="fixed"/>
        <w:tblLook w:firstColumn="1" w:firstRow="1" w:lastColumn="0" w:lastRow="0" w:noHBand="0" w:noVBand="1" w:val="04A0"/>
        <w:tblBorders>
          <w:top w:val="single" w:sz="4" w:color="E2DCF5"/>
          <w:left w:val="single" w:sz="4" w:color="E2DCF5"/>
          <w:bottom w:val="single" w:sz="4" w:color="E2DCF5"/>
          <w:right w:val="single" w:sz="4" w:color="E2DCF5"/>
          <w:insideH w:val="single" w:sz="4" w:color="E2DCF5"/>
          <w:insideV w:val="single" w:sz="4" w:color="E2DCF5"/>
        </w:tblBorders>
      </w:tblPr>
      <w:tblGrid>
        <w:gridCol w:w="9412"/>
      </w:tblGrid>
      <w:tr>
        <w:tc>
          <w:tcPr>
            <w:tcW w:type="dxa" w:w="9411"/>
            <w:shd w:val="clear" w:color="auto" w:fill="F3F0FB"/>
          </w:tcPr>
          <w:p>
            <w:r/>
            <w:r>
              <w:rPr>
                <w:b/>
                <w:i w:val="0"/>
                <w:color w:val="6E6480"/>
                <w:sz w:val="18"/>
              </w:rPr>
              <w:t>LO QUE SE DICE</w:t>
            </w:r>
          </w:p>
          <w:p>
            <w:pPr>
              <w:spacing w:after="80"/>
            </w:pPr>
            <w:r>
              <w:rPr>
                <w:b w:val="0"/>
                <w:i/>
                <w:color w:val="E05A3A"/>
                <w:sz w:val="20"/>
              </w:rPr>
              <w:t>[Pantalla: tabla de los 3 escenarios de la demo y la salida de pytest]</w:t>
            </w:r>
          </w:p>
          <w:p>
            <w:pPr>
              <w:spacing w:after="80"/>
            </w:pPr>
            <w:r>
              <w:rPr>
                <w:b w:val="0"/>
                <w:i w:val="0"/>
                <w:sz w:val="23"/>
              </w:rPr>
              <w:t>Probamos tres casos de uso reales sobre el mismo documento: onboarding de personal nuevo, capacitación regulatoria y actualización ante una auditoría. Con Gemini, los tres fueron aprobados por el Crítico, con fidelidad de 1,00, 1,00 y 0,92.</w:t>
            </w:r>
          </w:p>
          <w:p>
            <w:pPr>
              <w:spacing w:after="80"/>
            </w:pPr>
            <w:r>
              <w:rPr>
                <w:b w:val="0"/>
                <w:i w:val="0"/>
                <w:sz w:val="23"/>
              </w:rPr>
              <w:t>Y hay 263 pruebas automatizadas que corren sin red ni credenciales: ingesta, búsqueda, generación, fidelidad, seguridad, exportaciones y la API.</w:t>
            </w:r>
          </w:p>
        </w:tc>
      </w:tr>
    </w:tbl>
    <w:p>
      <w:pPr>
        <w:spacing w:after="40"/>
      </w:pPr>
    </w:p>
    <w:p>
      <w:pPr>
        <w:pStyle w:val="Heading2"/>
      </w:pPr>
      <w:r>
        <w:t>8. Nube y despliegue</w:t>
      </w:r>
    </w:p>
    <w:p>
      <w:r>
        <w:rPr>
          <w:b/>
          <w:i w:val="0"/>
          <w:color w:val="E05A3A"/>
          <w:sz w:val="20"/>
        </w:rPr>
        <w:t>⏱ 0:45   ·   🎤 Gaspar Martinez / Ethan Espinoza</w:t>
      </w:r>
    </w:p>
    <w:tbl>
      <w:tblPr>
        <w:tblW w:type="auto" w:w="0"/>
        <w:tblLayout w:type="fixed"/>
        <w:tblLook w:firstColumn="1" w:firstRow="1" w:lastColumn="0" w:lastRow="0" w:noHBand="0" w:noVBand="1" w:val="04A0"/>
        <w:tblBorders>
          <w:top w:val="single" w:sz="4" w:color="E2DCF5"/>
          <w:left w:val="single" w:sz="4" w:color="E2DCF5"/>
          <w:bottom w:val="single" w:sz="4" w:color="E2DCF5"/>
          <w:right w:val="single" w:sz="4" w:color="E2DCF5"/>
          <w:insideH w:val="single" w:sz="4" w:color="E2DCF5"/>
          <w:insideV w:val="single" w:sz="4" w:color="E2DCF5"/>
        </w:tblBorders>
      </w:tblPr>
      <w:tblGrid>
        <w:gridCol w:w="9412"/>
      </w:tblGrid>
      <w:tr>
        <w:tc>
          <w:tcPr>
            <w:tcW w:type="dxa" w:w="9411"/>
            <w:shd w:val="clear" w:color="auto" w:fill="F3F0FB"/>
          </w:tcPr>
          <w:p>
            <w:r/>
            <w:r>
              <w:rPr>
                <w:b/>
                <w:i w:val="0"/>
                <w:color w:val="6E6480"/>
                <w:sz w:val="18"/>
              </w:rPr>
              <w:t>LO QUE SE DICE</w:t>
            </w:r>
          </w:p>
          <w:p>
            <w:pPr>
              <w:spacing w:after="80"/>
            </w:pPr>
            <w:r>
              <w:rPr>
                <w:b w:val="0"/>
                <w:i/>
                <w:color w:val="E05A3A"/>
                <w:sz w:val="20"/>
              </w:rPr>
              <w:t>[Pantalla: docs/DEPLOY_OCI.md o el panel de Render]</w:t>
            </w:r>
          </w:p>
          <w:p>
            <w:pPr>
              <w:spacing w:after="80"/>
            </w:pPr>
            <w:r>
              <w:rPr>
                <w:b w:val="0"/>
                <w:i w:val="0"/>
                <w:sz w:val="23"/>
              </w:rPr>
              <w:t>Todo el material y el documento original se guardan en OCI Object Storage, en la capa Always Free. Si la nube no responde, la aplicación no se cae: guarda en un respaldo local y lo indica en cada respuesta.</w:t>
            </w:r>
          </w:p>
          <w:p>
            <w:pPr>
              <w:spacing w:after="80"/>
            </w:pPr>
            <w:r>
              <w:rPr>
                <w:b w:val="0"/>
                <w:i w:val="0"/>
                <w:sz w:val="23"/>
              </w:rPr>
              <w:t>La aplicación está empaquetada en Docker y lista para desplegarse en una máquina Always Free de OCI o en un servicio gratuito como Render, sin costo para el programa.</w:t>
            </w:r>
          </w:p>
        </w:tc>
      </w:tr>
    </w:tbl>
    <w:p>
      <w:pPr>
        <w:spacing w:after="40"/>
      </w:pPr>
    </w:p>
    <w:p>
      <w:pPr>
        <w:pStyle w:val="ListBullet"/>
      </w:pPr>
      <w:r>
        <w:rPr>
          <w:b w:val="0"/>
          <w:i w:val="0"/>
        </w:rPr>
        <w:t>Ajustar antes de exponer según el estado real de OCI: si el bucket ya recibe subidas (status_upload «completado»), mostrar un objeto en la consola de OCI. Si todavía responde 401, decir: «la integración está lista y hoy, por credenciales, se guarda en el respaldo local».</w:t>
      </w:r>
    </w:p>
    <w:p>
      <w:pPr>
        <w:pStyle w:val="Heading2"/>
      </w:pPr>
      <w:r>
        <w:t>9. Cierre</w:t>
      </w:r>
    </w:p>
    <w:p>
      <w:r>
        <w:rPr>
          <w:b/>
          <w:i w:val="0"/>
          <w:color w:val="E05A3A"/>
          <w:sz w:val="20"/>
        </w:rPr>
        <w:t>⏱ 1:00   ·   🎤 Juan Pablo Calla (PM)</w:t>
      </w:r>
    </w:p>
    <w:tbl>
      <w:tblPr>
        <w:tblW w:type="auto" w:w="0"/>
        <w:tblLayout w:type="fixed"/>
        <w:tblLook w:firstColumn="1" w:firstRow="1" w:lastColumn="0" w:lastRow="0" w:noHBand="0" w:noVBand="1" w:val="04A0"/>
        <w:tblBorders>
          <w:top w:val="single" w:sz="4" w:color="E2DCF5"/>
          <w:left w:val="single" w:sz="4" w:color="E2DCF5"/>
          <w:bottom w:val="single" w:sz="4" w:color="E2DCF5"/>
          <w:right w:val="single" w:sz="4" w:color="E2DCF5"/>
          <w:insideH w:val="single" w:sz="4" w:color="E2DCF5"/>
          <w:insideV w:val="single" w:sz="4" w:color="E2DCF5"/>
        </w:tblBorders>
      </w:tblPr>
      <w:tblGrid>
        <w:gridCol w:w="9412"/>
      </w:tblGrid>
      <w:tr>
        <w:tc>
          <w:tcPr>
            <w:tcW w:type="dxa" w:w="9411"/>
            <w:shd w:val="clear" w:color="auto" w:fill="F3F0FB"/>
          </w:tcPr>
          <w:p>
            <w:r/>
            <w:r>
              <w:rPr>
                <w:b/>
                <w:i w:val="0"/>
                <w:color w:val="6E6480"/>
                <w:sz w:val="18"/>
              </w:rPr>
              <w:t>LO QUE SE DICE</w:t>
            </w:r>
          </w:p>
          <w:p>
            <w:pPr>
              <w:spacing w:after="80"/>
            </w:pPr>
            <w:r>
              <w:rPr>
                <w:b w:val="0"/>
                <w:i/>
                <w:color w:val="E05A3A"/>
                <w:sz w:val="20"/>
              </w:rPr>
              <w:t>[Pantalla: diapositiva final con las cifras clave y el enlace al repositorio]</w:t>
            </w:r>
          </w:p>
          <w:p>
            <w:pPr>
              <w:spacing w:after="80"/>
            </w:pPr>
            <w:r>
              <w:rPr>
                <w:b w:val="0"/>
                <w:i w:val="0"/>
                <w:sz w:val="23"/>
              </w:rPr>
              <w:t>NuevaMente toma un documento técnico y, en minutos, lo convierte en material distinto para cada persona: cuatro perfiles, seis formatos, cinco sectores. Y lo hace sin inventar: cada afirmación tiene su fuente.</w:t>
            </w:r>
          </w:p>
          <w:p>
            <w:pPr>
              <w:spacing w:after="80"/>
            </w:pPr>
            <w:r>
              <w:rPr>
                <w:b w:val="0"/>
                <w:i w:val="0"/>
                <w:sz w:val="23"/>
              </w:rPr>
              <w:t>Lo que antes llevaba semanas de trabajo de especialistas ahora lleva minutos, con la trazabilidad que un sector como Salud necesita.</w:t>
            </w:r>
          </w:p>
          <w:p>
            <w:pPr>
              <w:spacing w:after="80"/>
            </w:pPr>
            <w:r>
              <w:rPr>
                <w:b w:val="0"/>
                <w:i w:val="0"/>
                <w:sz w:val="23"/>
              </w:rPr>
              <w:t>Gracias. Quedamos atentos a sus preguntas.</w:t>
            </w:r>
          </w:p>
        </w:tc>
      </w:tr>
    </w:tbl>
    <w:p>
      <w:pPr>
        <w:spacing w:after="40"/>
      </w:pPr>
    </w:p>
    <w:p>
      <w:pPr>
        <w:pStyle w:val="Heading1"/>
      </w:pPr>
      <w:r>
        <w:t>Explicación técnica de Kairos</w:t>
      </w:r>
    </w:p>
    <w:p>
      <w:r>
        <w:rPr>
          <w:b w:val="0"/>
          <w:i w:val="0"/>
        </w:rPr>
        <w:t>Esta sección es para cuando el jurado pida entrar en el detalle técnico. Tiene un guion breve para decir en voz alta y un anexo de referencia con la arquitectura, las tecnologías y cómo se procesa una solicitud de principio a fin. Todas las cifras salen del código de la versión 1.4.</w:t>
      </w:r>
    </w:p>
    <w:p>
      <w:pPr>
        <w:pStyle w:val="Heading2"/>
      </w:pPr>
      <w:r>
        <w:t>Guion técnico (2 minutos, opcional)</w:t>
      </w:r>
    </w:p>
    <w:p>
      <w:r>
        <w:rPr>
          <w:b/>
          <w:i w:val="0"/>
          <w:color w:val="E05A3A"/>
          <w:sz w:val="20"/>
        </w:rPr>
        <w:t>⏱ 2:00   ·   🎤 Bryan Infante (IA) y Ethan Espinoza (backend)</w:t>
      </w:r>
    </w:p>
    <w:tbl>
      <w:tblPr>
        <w:tblW w:type="auto" w:w="0"/>
        <w:tblLayout w:type="fixed"/>
        <w:tblLook w:firstColumn="1" w:firstRow="1" w:lastColumn="0" w:lastRow="0" w:noHBand="0" w:noVBand="1" w:val="04A0"/>
        <w:tblBorders>
          <w:top w:val="single" w:sz="4" w:color="E2DCF5"/>
          <w:left w:val="single" w:sz="4" w:color="E2DCF5"/>
          <w:bottom w:val="single" w:sz="4" w:color="E2DCF5"/>
          <w:right w:val="single" w:sz="4" w:color="E2DCF5"/>
          <w:insideH w:val="single" w:sz="4" w:color="E2DCF5"/>
          <w:insideV w:val="single" w:sz="4" w:color="E2DCF5"/>
        </w:tblBorders>
      </w:tblPr>
      <w:tblGrid>
        <w:gridCol w:w="9412"/>
      </w:tblGrid>
      <w:tr>
        <w:tc>
          <w:tcPr>
            <w:tcW w:type="dxa" w:w="9411"/>
            <w:shd w:val="clear" w:color="auto" w:fill="F3F0FB"/>
          </w:tcPr>
          <w:p>
            <w:r/>
            <w:r>
              <w:rPr>
                <w:b/>
                <w:i w:val="0"/>
                <w:color w:val="6E6480"/>
                <w:sz w:val="18"/>
              </w:rPr>
              <w:t>LO QUE SE DICE</w:t>
            </w:r>
          </w:p>
          <w:p>
            <w:pPr>
              <w:spacing w:after="80"/>
            </w:pPr>
            <w:r>
              <w:rPr>
                <w:b w:val="0"/>
                <w:i/>
                <w:color w:val="E05A3A"/>
                <w:sz w:val="20"/>
              </w:rPr>
              <w:t>[Pantalla: diagrama de capas del anexo o el diagrama del README]</w:t>
            </w:r>
          </w:p>
          <w:p>
            <w:pPr>
              <w:spacing w:after="80"/>
            </w:pPr>
            <w:r>
              <w:rPr>
                <w:b w:val="0"/>
                <w:i w:val="0"/>
                <w:sz w:val="23"/>
              </w:rPr>
              <w:t>Kairos es una aplicación en Python con FastAPI. Una misma API sirve la interfaz web y los endpoints REST, y valida todo lo que entra y sale con Pydantic: la respuesta tiene exactamente el JSON del enunciado.</w:t>
            </w:r>
          </w:p>
          <w:p>
            <w:pPr>
              <w:spacing w:after="80"/>
            </w:pPr>
            <w:r>
              <w:rPr>
                <w:b w:val="0"/>
                <w:i w:val="0"/>
                <w:sz w:val="23"/>
              </w:rPr>
              <w:t>Cuando llega un documento, primero lo leemos según su tipo: PDF con pypdf, Word con python-docx, y si el PDF es escaneado, Gemini lo transcribe. Después lo partimos en fragmentos de 900 caracteres con 150 de solapamiento y detectamos sus secciones, porque el material se organiza igual que el documento.</w:t>
            </w:r>
          </w:p>
          <w:p>
            <w:pPr>
              <w:spacing w:after="80"/>
            </w:pPr>
            <w:r>
              <w:rPr>
                <w:b w:val="0"/>
                <w:i w:val="0"/>
                <w:sz w:val="23"/>
              </w:rPr>
              <w:t>Cada fragmento se convierte en un embedding de 768 dimensiones con gemini-embedding-001 y se guarda en un índice aislado por documento. Con eso, el Investigador recupera la evidencia de cada sección, no solo de las primeras.</w:t>
            </w:r>
          </w:p>
          <w:p>
            <w:pPr>
              <w:spacing w:after="80"/>
            </w:pPr>
            <w:r>
              <w:rPr>
                <w:b w:val="0"/>
                <w:i w:val="0"/>
                <w:sz w:val="23"/>
              </w:rPr>
              <w:t>La orquestación es un grafo de LangGraph: indexar, planificar, investigar, consultar caché, redactar, criticar y finalizar. El Redactor llama a Gemini con un prompt que combina rol, perfil, sector, nivel, formato y un ejemplo, y pide una salida JSON con el esquema exacto del formato. Si no valida, se le pide corregir.</w:t>
            </w:r>
          </w:p>
          <w:p>
            <w:pPr>
              <w:spacing w:after="80"/>
            </w:pPr>
            <w:r>
              <w:rPr>
                <w:b w:val="0"/>
                <w:i w:val="0"/>
                <w:sz w:val="23"/>
              </w:rPr>
              <w:t>El Crítico mide cada afirmación contra el fragmento que cita. Lo que queda en duda lo revisa un juez de IA, pero solo lo aprobamos si su cita existe en el documento. Si no se alcanza el umbral, el grafo vuelve a redactar con la retroalimentación.</w:t>
            </w:r>
          </w:p>
          <w:p>
            <w:pPr>
              <w:spacing w:after="80"/>
            </w:pPr>
            <w:r>
              <w:rPr>
                <w:b w:val="0"/>
                <w:i w:val="0"/>
                <w:sz w:val="23"/>
              </w:rPr>
              <w:t>Todo está pensado para no caerse: si Gemini no tiene cuota, rotamos de modelo o usamos un respaldo local; si OCI no responde, guardamos en local; y el video y el podcast se generan en segundo plano. Todo eso lo cubren 263 pruebas automatizadas.</w:t>
            </w:r>
          </w:p>
        </w:tc>
      </w:tr>
    </w:tbl>
    <w:p>
      <w:pPr>
        <w:spacing w:after="40"/>
      </w:pPr>
    </w:p>
    <w:p>
      <w:pPr>
        <w:pStyle w:val="Heading2"/>
      </w:pPr>
      <w:r>
        <w:t>Anexo técnico</w:t>
      </w:r>
    </w:p>
    <w:p>
      <w:pPr>
        <w:pStyle w:val="Heading3"/>
      </w:pPr>
      <w:r>
        <w:t>Arquitectura por capas</w:t>
      </w:r>
    </w:p>
    <w:tbl>
      <w:tblPr>
        <w:tblW w:type="auto" w:w="0"/>
        <w:tblLayout w:type="fixed"/>
        <w:tblLook w:firstColumn="1" w:firstRow="1" w:lastColumn="0" w:lastRow="0" w:noHBand="0" w:noVBand="1" w:val="04A0"/>
        <w:tblBorders>
          <w:top w:val="single" w:sz="4" w:color="E2DCF5"/>
          <w:left w:val="single" w:sz="4" w:color="E2DCF5"/>
          <w:bottom w:val="single" w:sz="4" w:color="E2DCF5"/>
          <w:right w:val="single" w:sz="4" w:color="E2DCF5"/>
          <w:insideH w:val="single" w:sz="4" w:color="E2DCF5"/>
          <w:insideV w:val="single" w:sz="4" w:color="E2DCF5"/>
        </w:tblBorders>
      </w:tblPr>
      <w:tblGrid>
        <w:gridCol w:w="9412"/>
      </w:tblGrid>
      <w:tr>
        <w:tc>
          <w:tcPr>
            <w:tcW w:type="dxa" w:w="9411"/>
            <w:shd w:val="clear" w:color="auto" w:fill="F6F4FA"/>
          </w:tcPr>
          <w:p>
            <w:pPr>
              <w:spacing w:after="0"/>
            </w:pPr>
            <w:r/>
            <w:r>
              <w:rPr>
                <w:rFonts w:ascii="Consolas" w:hAnsi="Consolas"/>
                <w:b w:val="0"/>
                <w:i w:val="0"/>
                <w:sz w:val="18"/>
              </w:rPr>
              <w:t>Documento (PDF · PDF escaneado · Word · Markdown · texto)</w:t>
            </w:r>
          </w:p>
          <w:p>
            <w:pPr>
              <w:spacing w:after="0"/>
            </w:pPr>
            <w:r>
              <w:rPr>
                <w:rFonts w:ascii="Consolas" w:hAnsi="Consolas"/>
                <w:b w:val="0"/>
                <w:i w:val="0"/>
                <w:sz w:val="18"/>
              </w:rPr>
              <w:t xml:space="preserve">   │  ingest/readers.py  — lectura, OCR con Gemini y limpieza</w:t>
            </w:r>
          </w:p>
          <w:p>
            <w:pPr>
              <w:spacing w:after="0"/>
            </w:pPr>
            <w:r>
              <w:rPr>
                <w:rFonts w:ascii="Consolas" w:hAnsi="Consolas"/>
                <w:b w:val="0"/>
                <w:i w:val="0"/>
                <w:sz w:val="18"/>
              </w:rPr>
              <w:t xml:space="preserve">   ▼  ingest/chunking.py — fragmentos 900/150 y detección de secciones</w:t>
            </w:r>
          </w:p>
          <w:p>
            <w:pPr>
              <w:spacing w:after="0"/>
            </w:pPr>
            <w:r>
              <w:rPr>
                <w:rFonts w:ascii="Consolas" w:hAnsi="Consolas"/>
                <w:b w:val="0"/>
                <w:i w:val="0"/>
                <w:sz w:val="18"/>
              </w:rPr>
              <w:t>[RAG]  rag/embeddings.py (Gemini 768 dim. | TF-IDF) + rag/vectorstore.py (local | ChromaDB)</w:t>
            </w:r>
          </w:p>
          <w:p>
            <w:pPr>
              <w:spacing w:after="0"/>
            </w:pPr>
            <w:r>
              <w:rPr>
                <w:rFonts w:ascii="Consolas" w:hAnsi="Consolas"/>
                <w:b w:val="0"/>
                <w:i w:val="0"/>
                <w:sz w:val="18"/>
              </w:rPr>
              <w:t xml:space="preserve">   ▼</w:t>
            </w:r>
          </w:p>
          <w:p>
            <w:pPr>
              <w:spacing w:after="0"/>
            </w:pPr>
            <w:r>
              <w:rPr>
                <w:rFonts w:ascii="Consolas" w:hAnsi="Consolas"/>
                <w:b w:val="0"/>
                <w:i w:val="0"/>
                <w:sz w:val="18"/>
              </w:rPr>
              <w:t>[Grafo LangGraph]  agents/graph.py</w:t>
            </w:r>
          </w:p>
          <w:p>
            <w:pPr>
              <w:spacing w:after="0"/>
            </w:pPr>
            <w:r>
              <w:rPr>
                <w:rFonts w:ascii="Consolas" w:hAnsi="Consolas"/>
                <w:b w:val="0"/>
                <w:i w:val="0"/>
                <w:sz w:val="18"/>
              </w:rPr>
              <w:t xml:space="preserve">   indexar → planificar → investigar → consultar_cache → redactar → criticar → finalizar</w:t>
            </w:r>
          </w:p>
          <w:p>
            <w:pPr>
              <w:spacing w:after="0"/>
            </w:pPr>
            <w:r>
              <w:rPr>
                <w:rFonts w:ascii="Consolas" w:hAnsi="Consolas"/>
                <w:b w:val="0"/>
                <w:i w:val="0"/>
                <w:sz w:val="18"/>
              </w:rPr>
              <w:t xml:space="preserve">                                                        ▲            │ reintento</w:t>
            </w:r>
          </w:p>
          <w:p>
            <w:pPr>
              <w:spacing w:after="0"/>
            </w:pPr>
            <w:r>
              <w:rPr>
                <w:rFonts w:ascii="Consolas" w:hAnsi="Consolas"/>
                <w:b w:val="0"/>
                <w:i w:val="0"/>
                <w:sz w:val="18"/>
              </w:rPr>
              <w:t xml:space="preserve">                                                        └────────────┘</w:t>
            </w:r>
          </w:p>
          <w:p>
            <w:pPr>
              <w:spacing w:after="0"/>
            </w:pPr>
            <w:r>
              <w:rPr>
                <w:rFonts w:ascii="Consolas" w:hAnsi="Consolas"/>
                <w:b w:val="0"/>
                <w:i w:val="0"/>
                <w:sz w:val="18"/>
              </w:rPr>
              <w:t xml:space="preserve">   ▼  llm/ (Gemini, rotación de modelos, respaldo local) · fidelity/ (TF-IDF + juez de IA)</w:t>
            </w:r>
          </w:p>
          <w:p>
            <w:pPr>
              <w:spacing w:after="0"/>
            </w:pPr>
            <w:r>
              <w:rPr>
                <w:rFonts w:ascii="Consolas" w:hAnsi="Consolas"/>
                <w:b w:val="0"/>
                <w:i w:val="0"/>
                <w:sz w:val="18"/>
              </w:rPr>
              <w:t>[Persistencia]  storage/oci_client.py — OCI Object Storage | respaldo local</w:t>
            </w:r>
          </w:p>
          <w:p>
            <w:pPr>
              <w:spacing w:after="0"/>
            </w:pPr>
            <w:r>
              <w:rPr>
                <w:rFonts w:ascii="Consolas" w:hAnsi="Consolas"/>
                <w:b w:val="0"/>
                <w:i w:val="0"/>
                <w:sz w:val="18"/>
              </w:rPr>
              <w:t xml:space="preserve">   ▼</w:t>
            </w:r>
          </w:p>
          <w:p>
            <w:pPr>
              <w:spacing w:after="0"/>
            </w:pPr>
            <w:r>
              <w:rPr>
                <w:rFonts w:ascii="Consolas" w:hAnsi="Consolas"/>
                <w:b w:val="0"/>
                <w:i w:val="0"/>
                <w:sz w:val="18"/>
              </w:rPr>
              <w:t>[API REST FastAPI]  api/app.py  ──►  Interfaz web (web/) · Exportaciones (exports/)</w:t>
            </w:r>
          </w:p>
        </w:tc>
      </w:tr>
    </w:tbl>
    <w:p>
      <w:pPr>
        <w:spacing w:after="40"/>
      </w:pPr>
    </w:p>
    <w:p>
      <w:pPr>
        <w:pStyle w:val="Heading3"/>
      </w:pPr>
      <w:r>
        <w:t>Tecnologías</w:t>
      </w:r>
    </w:p>
    <w:tbl>
      <w:tblPr>
        <w:tblW w:type="auto" w:w="0"/>
        <w:tblLayout w:type="fixed"/>
        <w:tblLook w:firstColumn="1" w:firstRow="1" w:lastColumn="0" w:lastRow="0" w:noHBand="0" w:noVBand="1" w:val="04A0"/>
        <w:tblBorders>
          <w:top w:val="single" w:sz="4" w:color="D9D3EC"/>
          <w:left w:val="single" w:sz="4" w:color="D9D3EC"/>
          <w:bottom w:val="single" w:sz="4" w:color="D9D3EC"/>
          <w:right w:val="single" w:sz="4" w:color="D9D3EC"/>
          <w:insideH w:val="single" w:sz="4" w:color="D9D3EC"/>
          <w:insideV w:val="single" w:sz="4" w:color="D9D3EC"/>
        </w:tblBorders>
      </w:tblPr>
      <w:tblGrid>
        <w:gridCol w:w="3137"/>
        <w:gridCol w:w="3137"/>
        <w:gridCol w:w="3137"/>
      </w:tblGrid>
      <w:tr>
        <w:tc>
          <w:tcPr>
            <w:tcW w:type="dxa" w:w="1814"/>
            <w:shd w:val="clear" w:color="auto" w:fill="4B2FC2"/>
          </w:tcPr>
          <w:p>
            <w:r/>
            <w:r>
              <w:rPr>
                <w:b/>
                <w:i w:val="0"/>
                <w:color w:val="FFFFFF"/>
                <w:sz w:val="19"/>
              </w:rPr>
              <w:t>Capa</w:t>
            </w:r>
          </w:p>
        </w:tc>
        <w:tc>
          <w:tcPr>
            <w:tcW w:type="dxa" w:w="3175"/>
            <w:shd w:val="clear" w:color="auto" w:fill="4B2FC2"/>
          </w:tcPr>
          <w:p>
            <w:r/>
            <w:r>
              <w:rPr>
                <w:b/>
                <w:i w:val="0"/>
                <w:color w:val="FFFFFF"/>
                <w:sz w:val="19"/>
              </w:rPr>
              <w:t>Tecnología</w:t>
            </w:r>
          </w:p>
        </w:tc>
        <w:tc>
          <w:tcPr>
            <w:tcW w:type="dxa" w:w="4422"/>
            <w:shd w:val="clear" w:color="auto" w:fill="4B2FC2"/>
          </w:tcPr>
          <w:p>
            <w:r/>
            <w:r>
              <w:rPr>
                <w:b/>
                <w:i w:val="0"/>
                <w:color w:val="FFFFFF"/>
                <w:sz w:val="19"/>
              </w:rPr>
              <w:t>Para qué</w:t>
            </w:r>
          </w:p>
        </w:tc>
      </w:tr>
      <w:tr>
        <w:tc>
          <w:tcPr>
            <w:tcW w:type="dxa" w:w="1814"/>
          </w:tcPr>
          <w:p>
            <w:pPr>
              <w:spacing w:after="0"/>
            </w:pPr>
            <w:r/>
            <w:r>
              <w:rPr>
                <w:b/>
                <w:i w:val="0"/>
                <w:sz w:val="19"/>
              </w:rPr>
              <w:t>Lenguaje y API</w:t>
            </w:r>
          </w:p>
        </w:tc>
        <w:tc>
          <w:tcPr>
            <w:tcW w:type="dxa" w:w="3175"/>
          </w:tcPr>
          <w:p>
            <w:pPr>
              <w:spacing w:after="0"/>
            </w:pPr>
            <w:r/>
            <w:r>
              <w:rPr>
                <w:b w:val="0"/>
                <w:i w:val="0"/>
                <w:sz w:val="19"/>
              </w:rPr>
              <w:t>Python 3.12 · FastAPI 0.142 · Uvicorn</w:t>
            </w:r>
          </w:p>
        </w:tc>
        <w:tc>
          <w:tcPr>
            <w:tcW w:type="dxa" w:w="4422"/>
          </w:tcPr>
          <w:p>
            <w:pPr>
              <w:spacing w:after="0"/>
            </w:pPr>
            <w:r/>
            <w:r>
              <w:rPr>
                <w:b w:val="0"/>
                <w:i w:val="0"/>
                <w:sz w:val="19"/>
              </w:rPr>
              <w:t>Servidor REST y la interfaz web en el mismo proceso</w:t>
            </w:r>
          </w:p>
        </w:tc>
      </w:tr>
      <w:tr>
        <w:tc>
          <w:tcPr>
            <w:tcW w:type="dxa" w:w="1814"/>
          </w:tcPr>
          <w:p>
            <w:pPr>
              <w:spacing w:after="0"/>
            </w:pPr>
            <w:r/>
            <w:r>
              <w:rPr>
                <w:b/>
                <w:i w:val="0"/>
                <w:sz w:val="19"/>
              </w:rPr>
              <w:t>Contratos de datos</w:t>
            </w:r>
          </w:p>
        </w:tc>
        <w:tc>
          <w:tcPr>
            <w:tcW w:type="dxa" w:w="3175"/>
          </w:tcPr>
          <w:p>
            <w:pPr>
              <w:spacing w:after="0"/>
            </w:pPr>
            <w:r/>
            <w:r>
              <w:rPr>
                <w:b w:val="0"/>
                <w:i w:val="0"/>
                <w:sz w:val="19"/>
              </w:rPr>
              <w:t>Pydantic 2.13</w:t>
            </w:r>
          </w:p>
        </w:tc>
        <w:tc>
          <w:tcPr>
            <w:tcW w:type="dxa" w:w="4422"/>
          </w:tcPr>
          <w:p>
            <w:pPr>
              <w:spacing w:after="0"/>
            </w:pPr>
            <w:r/>
            <w:r>
              <w:rPr>
                <w:b w:val="0"/>
                <w:i w:val="0"/>
                <w:sz w:val="19"/>
              </w:rPr>
              <w:t>Validar la solicitud y los 6 formatos de salida con tipado estricto</w:t>
            </w:r>
          </w:p>
        </w:tc>
      </w:tr>
      <w:tr>
        <w:tc>
          <w:tcPr>
            <w:tcW w:type="dxa" w:w="1814"/>
          </w:tcPr>
          <w:p>
            <w:pPr>
              <w:spacing w:after="0"/>
            </w:pPr>
            <w:r/>
            <w:r>
              <w:rPr>
                <w:b/>
                <w:i w:val="0"/>
                <w:sz w:val="19"/>
              </w:rPr>
              <w:t>Orquestación</w:t>
            </w:r>
          </w:p>
        </w:tc>
        <w:tc>
          <w:tcPr>
            <w:tcW w:type="dxa" w:w="3175"/>
          </w:tcPr>
          <w:p>
            <w:pPr>
              <w:spacing w:after="0"/>
            </w:pPr>
            <w:r/>
            <w:r>
              <w:rPr>
                <w:b w:val="0"/>
                <w:i w:val="0"/>
                <w:sz w:val="19"/>
              </w:rPr>
              <w:t>LangGraph 1.2</w:t>
            </w:r>
          </w:p>
        </w:tc>
        <w:tc>
          <w:tcPr>
            <w:tcW w:type="dxa" w:w="4422"/>
          </w:tcPr>
          <w:p>
            <w:pPr>
              <w:spacing w:after="0"/>
            </w:pPr>
            <w:r/>
            <w:r>
              <w:rPr>
                <w:b w:val="0"/>
                <w:i w:val="0"/>
                <w:sz w:val="19"/>
              </w:rPr>
              <w:t>Grafo de agentes con reintento condicional</w:t>
            </w:r>
          </w:p>
        </w:tc>
      </w:tr>
      <w:tr>
        <w:tc>
          <w:tcPr>
            <w:tcW w:type="dxa" w:w="1814"/>
          </w:tcPr>
          <w:p>
            <w:pPr>
              <w:spacing w:after="0"/>
            </w:pPr>
            <w:r/>
            <w:r>
              <w:rPr>
                <w:b/>
                <w:i w:val="0"/>
                <w:sz w:val="19"/>
              </w:rPr>
              <w:t>IA generativa</w:t>
            </w:r>
          </w:p>
        </w:tc>
        <w:tc>
          <w:tcPr>
            <w:tcW w:type="dxa" w:w="3175"/>
          </w:tcPr>
          <w:p>
            <w:pPr>
              <w:spacing w:after="0"/>
            </w:pPr>
            <w:r/>
            <w:r>
              <w:rPr>
                <w:b w:val="0"/>
                <w:i w:val="0"/>
                <w:sz w:val="19"/>
              </w:rPr>
              <w:t>Google Gemini (google-genai 2.28)</w:t>
            </w:r>
          </w:p>
        </w:tc>
        <w:tc>
          <w:tcPr>
            <w:tcW w:type="dxa" w:w="4422"/>
          </w:tcPr>
          <w:p>
            <w:pPr>
              <w:spacing w:after="0"/>
            </w:pPr>
            <w:r/>
            <w:r>
              <w:rPr>
                <w:b w:val="0"/>
                <w:i w:val="0"/>
                <w:sz w:val="19"/>
              </w:rPr>
              <w:t>Redactar, juzgar, OCR y voces; Claude, Groq, Cerebras y OpenRouter como alternativas</w:t>
            </w:r>
          </w:p>
        </w:tc>
      </w:tr>
      <w:tr>
        <w:tc>
          <w:tcPr>
            <w:tcW w:type="dxa" w:w="1814"/>
          </w:tcPr>
          <w:p>
            <w:pPr>
              <w:spacing w:after="0"/>
            </w:pPr>
            <w:r/>
            <w:r>
              <w:rPr>
                <w:b/>
                <w:i w:val="0"/>
                <w:sz w:val="19"/>
              </w:rPr>
              <w:t>Embeddings</w:t>
            </w:r>
          </w:p>
        </w:tc>
        <w:tc>
          <w:tcPr>
            <w:tcW w:type="dxa" w:w="3175"/>
          </w:tcPr>
          <w:p>
            <w:pPr>
              <w:spacing w:after="0"/>
            </w:pPr>
            <w:r/>
            <w:r>
              <w:rPr>
                <w:b w:val="0"/>
                <w:i w:val="0"/>
                <w:sz w:val="19"/>
              </w:rPr>
              <w:t>gemini-embedding-001 · scikit-learn (TF-IDF)</w:t>
            </w:r>
          </w:p>
        </w:tc>
        <w:tc>
          <w:tcPr>
            <w:tcW w:type="dxa" w:w="4422"/>
          </w:tcPr>
          <w:p>
            <w:pPr>
              <w:spacing w:after="0"/>
            </w:pPr>
            <w:r/>
            <w:r>
              <w:rPr>
                <w:b w:val="0"/>
                <w:i w:val="0"/>
                <w:sz w:val="19"/>
              </w:rPr>
              <w:t>Búsqueda por significado, con respaldo local</w:t>
            </w:r>
          </w:p>
        </w:tc>
      </w:tr>
      <w:tr>
        <w:tc>
          <w:tcPr>
            <w:tcW w:type="dxa" w:w="1814"/>
          </w:tcPr>
          <w:p>
            <w:pPr>
              <w:spacing w:after="0"/>
            </w:pPr>
            <w:r/>
            <w:r>
              <w:rPr>
                <w:b/>
                <w:i w:val="0"/>
                <w:sz w:val="19"/>
              </w:rPr>
              <w:t>Vector store</w:t>
            </w:r>
          </w:p>
        </w:tc>
        <w:tc>
          <w:tcPr>
            <w:tcW w:type="dxa" w:w="3175"/>
          </w:tcPr>
          <w:p>
            <w:pPr>
              <w:spacing w:after="0"/>
            </w:pPr>
            <w:r/>
            <w:r>
              <w:rPr>
                <w:b w:val="0"/>
                <w:i w:val="0"/>
                <w:sz w:val="19"/>
              </w:rPr>
              <w:t>numpy propio · ChromaDB (opcional)</w:t>
            </w:r>
          </w:p>
        </w:tc>
        <w:tc>
          <w:tcPr>
            <w:tcW w:type="dxa" w:w="4422"/>
          </w:tcPr>
          <w:p>
            <w:pPr>
              <w:spacing w:after="0"/>
            </w:pPr>
            <w:r/>
            <w:r>
              <w:rPr>
                <w:b w:val="0"/>
                <w:i w:val="0"/>
                <w:sz w:val="19"/>
              </w:rPr>
              <w:t>Índice aislado por documento</w:t>
            </w:r>
          </w:p>
        </w:tc>
      </w:tr>
      <w:tr>
        <w:tc>
          <w:tcPr>
            <w:tcW w:type="dxa" w:w="1814"/>
          </w:tcPr>
          <w:p>
            <w:pPr>
              <w:spacing w:after="0"/>
            </w:pPr>
            <w:r/>
            <w:r>
              <w:rPr>
                <w:b/>
                <w:i w:val="0"/>
                <w:sz w:val="19"/>
              </w:rPr>
              <w:t>Ingesta</w:t>
            </w:r>
          </w:p>
        </w:tc>
        <w:tc>
          <w:tcPr>
            <w:tcW w:type="dxa" w:w="3175"/>
          </w:tcPr>
          <w:p>
            <w:pPr>
              <w:spacing w:after="0"/>
            </w:pPr>
            <w:r/>
            <w:r>
              <w:rPr>
                <w:b w:val="0"/>
                <w:i w:val="0"/>
                <w:sz w:val="19"/>
              </w:rPr>
              <w:t>pypdf · python-docx</w:t>
            </w:r>
          </w:p>
        </w:tc>
        <w:tc>
          <w:tcPr>
            <w:tcW w:type="dxa" w:w="4422"/>
          </w:tcPr>
          <w:p>
            <w:pPr>
              <w:spacing w:after="0"/>
            </w:pPr>
            <w:r/>
            <w:r>
              <w:rPr>
                <w:b w:val="0"/>
                <w:i w:val="0"/>
                <w:sz w:val="19"/>
              </w:rPr>
              <w:t>Leer PDF y Word</w:t>
            </w:r>
          </w:p>
        </w:tc>
      </w:tr>
      <w:tr>
        <w:tc>
          <w:tcPr>
            <w:tcW w:type="dxa" w:w="1814"/>
          </w:tcPr>
          <w:p>
            <w:pPr>
              <w:spacing w:after="0"/>
            </w:pPr>
            <w:r/>
            <w:r>
              <w:rPr>
                <w:b/>
                <w:i w:val="0"/>
                <w:sz w:val="19"/>
              </w:rPr>
              <w:t>Exportación</w:t>
            </w:r>
          </w:p>
        </w:tc>
        <w:tc>
          <w:tcPr>
            <w:tcW w:type="dxa" w:w="3175"/>
          </w:tcPr>
          <w:p>
            <w:pPr>
              <w:spacing w:after="0"/>
            </w:pPr>
            <w:r/>
            <w:r>
              <w:rPr>
                <w:b w:val="0"/>
                <w:i w:val="0"/>
                <w:sz w:val="19"/>
              </w:rPr>
              <w:t>python-docx · fpdf2 · python-pptx · Pillow · ffmpeg</w:t>
            </w:r>
          </w:p>
        </w:tc>
        <w:tc>
          <w:tcPr>
            <w:tcW w:type="dxa" w:w="4422"/>
          </w:tcPr>
          <w:p>
            <w:pPr>
              <w:spacing w:after="0"/>
            </w:pPr>
            <w:r/>
            <w:r>
              <w:rPr>
                <w:b w:val="0"/>
                <w:i w:val="0"/>
                <w:sz w:val="19"/>
              </w:rPr>
              <w:t>Word, PDF, PowerPoint, video MP4 y audio MP3</w:t>
            </w:r>
          </w:p>
        </w:tc>
      </w:tr>
      <w:tr>
        <w:tc>
          <w:tcPr>
            <w:tcW w:type="dxa" w:w="1814"/>
          </w:tcPr>
          <w:p>
            <w:pPr>
              <w:spacing w:after="0"/>
            </w:pPr>
            <w:r/>
            <w:r>
              <w:rPr>
                <w:b/>
                <w:i w:val="0"/>
                <w:sz w:val="19"/>
              </w:rPr>
              <w:t>Nube</w:t>
            </w:r>
          </w:p>
        </w:tc>
        <w:tc>
          <w:tcPr>
            <w:tcW w:type="dxa" w:w="3175"/>
          </w:tcPr>
          <w:p>
            <w:pPr>
              <w:spacing w:after="0"/>
            </w:pPr>
            <w:r/>
            <w:r>
              <w:rPr>
                <w:b w:val="0"/>
                <w:i w:val="0"/>
                <w:sz w:val="19"/>
              </w:rPr>
              <w:t>OCI SDK (oci 2.187) · Object Storage</w:t>
            </w:r>
          </w:p>
        </w:tc>
        <w:tc>
          <w:tcPr>
            <w:tcW w:type="dxa" w:w="4422"/>
          </w:tcPr>
          <w:p>
            <w:pPr>
              <w:spacing w:after="0"/>
            </w:pPr>
            <w:r/>
            <w:r>
              <w:rPr>
                <w:b w:val="0"/>
                <w:i w:val="0"/>
                <w:sz w:val="19"/>
              </w:rPr>
              <w:t>Persistir el original y el material (capa Always Free)</w:t>
            </w:r>
          </w:p>
        </w:tc>
      </w:tr>
      <w:tr>
        <w:tc>
          <w:tcPr>
            <w:tcW w:type="dxa" w:w="1814"/>
          </w:tcPr>
          <w:p>
            <w:pPr>
              <w:spacing w:after="0"/>
            </w:pPr>
            <w:r/>
            <w:r>
              <w:rPr>
                <w:b/>
                <w:i w:val="0"/>
                <w:sz w:val="19"/>
              </w:rPr>
              <w:t>Interfaz</w:t>
            </w:r>
          </w:p>
        </w:tc>
        <w:tc>
          <w:tcPr>
            <w:tcW w:type="dxa" w:w="3175"/>
          </w:tcPr>
          <w:p>
            <w:pPr>
              <w:spacing w:after="0"/>
            </w:pPr>
            <w:r/>
            <w:r>
              <w:rPr>
                <w:b w:val="0"/>
                <w:i w:val="0"/>
                <w:sz w:val="19"/>
              </w:rPr>
              <w:t>HTML, CSS y JavaScript sin framework</w:t>
            </w:r>
          </w:p>
        </w:tc>
        <w:tc>
          <w:tcPr>
            <w:tcW w:type="dxa" w:w="4422"/>
          </w:tcPr>
          <w:p>
            <w:pPr>
              <w:spacing w:after="0"/>
            </w:pPr>
            <w:r/>
            <w:r>
              <w:rPr>
                <w:b w:val="0"/>
                <w:i w:val="0"/>
                <w:sz w:val="19"/>
              </w:rPr>
              <w:t>Sin paso de compilación; texto del documento siempre como texto</w:t>
            </w:r>
          </w:p>
        </w:tc>
      </w:tr>
      <w:tr>
        <w:tc>
          <w:tcPr>
            <w:tcW w:type="dxa" w:w="1814"/>
          </w:tcPr>
          <w:p>
            <w:pPr>
              <w:spacing w:after="0"/>
            </w:pPr>
            <w:r/>
            <w:r>
              <w:rPr>
                <w:b/>
                <w:i w:val="0"/>
                <w:sz w:val="19"/>
              </w:rPr>
              <w:t>Calidad y despliegue</w:t>
            </w:r>
          </w:p>
        </w:tc>
        <w:tc>
          <w:tcPr>
            <w:tcW w:type="dxa" w:w="3175"/>
          </w:tcPr>
          <w:p>
            <w:pPr>
              <w:spacing w:after="0"/>
            </w:pPr>
            <w:r/>
            <w:r>
              <w:rPr>
                <w:b w:val="0"/>
                <w:i w:val="0"/>
                <w:sz w:val="19"/>
              </w:rPr>
              <w:t>pytest · Docker · systemd + nginx</w:t>
            </w:r>
          </w:p>
        </w:tc>
        <w:tc>
          <w:tcPr>
            <w:tcW w:type="dxa" w:w="4422"/>
          </w:tcPr>
          <w:p>
            <w:pPr>
              <w:spacing w:after="0"/>
            </w:pPr>
            <w:r/>
            <w:r>
              <w:rPr>
                <w:b w:val="0"/>
                <w:i w:val="0"/>
                <w:sz w:val="19"/>
              </w:rPr>
              <w:t>263 pruebas; Render, Railway, Fly.io u OCI Compute</w:t>
            </w:r>
          </w:p>
        </w:tc>
      </w:tr>
    </w:tbl>
    <w:p>
      <w:pPr>
        <w:spacing w:after="40"/>
      </w:pPr>
    </w:p>
    <w:p>
      <w:pPr>
        <w:pStyle w:val="Heading3"/>
      </w:pPr>
      <w:r>
        <w:t>Recorrido de una solicitud</w:t>
      </w:r>
    </w:p>
    <w:p>
      <w:pPr>
        <w:pStyle w:val="ListBullet"/>
      </w:pPr>
      <w:r>
        <w:rPr>
          <w:b/>
          <w:i w:val="0"/>
        </w:rPr>
        <w:t xml:space="preserve">1. Entrada (api/app.py). </w:t>
      </w:r>
      <w:r>
        <w:rPr>
          <w:b w:val="0"/>
          <w:i w:val="0"/>
        </w:rPr>
        <w:t>POST /api/v1/adaptar recibe JSON o /adaptar/archivo un archivo de hasta 10 MB. Los enums aceptan el valor sin tildes y los nombres del enunciado («Resumen Ejecutivo (TL;DR)»).</w:t>
      </w:r>
    </w:p>
    <w:p>
      <w:pPr>
        <w:pStyle w:val="ListBullet"/>
      </w:pPr>
      <w:r>
        <w:rPr>
          <w:b/>
          <w:i w:val="0"/>
        </w:rPr>
        <w:t xml:space="preserve">2. Lectura (ingest/readers.py). </w:t>
      </w:r>
      <w:r>
        <w:rPr>
          <w:b w:val="0"/>
          <w:i w:val="0"/>
        </w:rPr>
        <w:t>Según la extensión: PDF, Word, Markdown o texto. Si el PDF no tiene texto, se envía a Gemini para OCR. Se quitan pies de página, índices, avisos legales y viñetas sueltas.</w:t>
      </w:r>
    </w:p>
    <w:p>
      <w:pPr>
        <w:pStyle w:val="ListBullet"/>
      </w:pPr>
      <w:r>
        <w:rPr>
          <w:b/>
          <w:i w:val="0"/>
        </w:rPr>
        <w:t xml:space="preserve">3. Fragmentos (ingest/chunking.py). </w:t>
      </w:r>
      <w:r>
        <w:rPr>
          <w:b w:val="0"/>
          <w:i w:val="0"/>
        </w:rPr>
        <w:t>900 caracteres con 150 de solapamiento, cortando en fin de oración. Se detectan títulos Markdown, numerados y en mayúsculas; los títulos quedan en tipo oración con sus siglas.</w:t>
      </w:r>
    </w:p>
    <w:p>
      <w:pPr>
        <w:pStyle w:val="ListBullet"/>
      </w:pPr>
      <w:r>
        <w:rPr>
          <w:b/>
          <w:i w:val="0"/>
        </w:rPr>
        <w:t xml:space="preserve">4. Índice (rag/). </w:t>
      </w:r>
      <w:r>
        <w:rPr>
          <w:b w:val="0"/>
          <w:i w:val="0"/>
        </w:rPr>
        <w:t>Embeddings de Gemini (RETRIEVAL_DOCUMENT para fragmentos, RETRIEVAL_QUERY para consultas), en lotes y con caché. Si Gemini falla, toda la colección pasa a TF-IDF, sin mezclar vectores.</w:t>
      </w:r>
    </w:p>
    <w:p>
      <w:pPr>
        <w:pStyle w:val="ListBullet"/>
      </w:pPr>
      <w:r>
        <w:rPr>
          <w:b/>
          <w:i w:val="0"/>
        </w:rPr>
        <w:t xml:space="preserve">5. Planificar e investigar (agents/graph.py). </w:t>
      </w:r>
      <w:r>
        <w:rPr>
          <w:b w:val="0"/>
          <w:i w:val="0"/>
        </w:rPr>
        <w:t>Se descartan secciones no didácticas (índice, bibliografía) y se recuperan al menos 2 fragmentos por sección y 12 en total: el LLM recibe entre 900 y 2.100 palabras en documentos reales.</w:t>
      </w:r>
    </w:p>
    <w:p>
      <w:pPr>
        <w:pStyle w:val="ListBullet"/>
      </w:pPr>
      <w:r>
        <w:rPr>
          <w:b/>
          <w:i w:val="0"/>
        </w:rPr>
        <w:t xml:space="preserve">6. Caché. </w:t>
      </w:r>
      <w:r>
        <w:rPr>
          <w:b w:val="0"/>
          <w:i w:val="0"/>
        </w:rPr>
        <w:t>Si el mismo material ya fue aprobado (mismo documento, evidencia, opciones y versión de los prompts), se devuelve sin llamar al LLM.</w:t>
      </w:r>
    </w:p>
    <w:p>
      <w:pPr>
        <w:pStyle w:val="ListBullet"/>
      </w:pPr>
      <w:r>
        <w:rPr>
          <w:b/>
          <w:i w:val="0"/>
        </w:rPr>
        <w:t xml:space="preserve">7. Redactar (llm/). </w:t>
      </w:r>
      <w:r>
        <w:rPr>
          <w:b w:val="0"/>
          <w:i w:val="0"/>
        </w:rPr>
        <w:t>Prompt con rol, perfil, sector, nivel, idioma, formato, un ejemplo few-shot y la orden de usar solo la evidencia y citar el chunk_id. Salida JSON con el esquema del formato; los conceptos clave y prerrequisitos llegan en la misma respuesta.</w:t>
      </w:r>
    </w:p>
    <w:p>
      <w:pPr>
        <w:pStyle w:val="ListBullet"/>
      </w:pPr>
      <w:r>
        <w:rPr>
          <w:b/>
          <w:i w:val="0"/>
        </w:rPr>
        <w:t xml:space="preserve">8. Criticar (fidelity/). </w:t>
      </w:r>
      <w:r>
        <w:rPr>
          <w:b w:val="0"/>
          <w:i w:val="0"/>
        </w:rPr>
        <w:t>Similitud TF-IDF de cada afirmación con su fragmento; las dudosas pasan al juez de IA, que solo aprueba con citas textuales verificadas en código y también evalúa la coherencia didáctica. Umbral 0,85 (0,90 en Salud); si no se alcanza, se reintenta con retroalimentación (hasta 2 veces).</w:t>
      </w:r>
    </w:p>
    <w:p>
      <w:pPr>
        <w:pStyle w:val="ListBullet"/>
      </w:pPr>
      <w:r>
        <w:rPr>
          <w:b/>
          <w:i w:val="0"/>
        </w:rPr>
        <w:t xml:space="preserve">9. Guardar y responder. </w:t>
      </w:r>
      <w:r>
        <w:rPr>
          <w:b w:val="0"/>
          <w:i w:val="0"/>
        </w:rPr>
        <w:t>Se sube a OCI el texto, el archivo original y el JSON del material (o al respaldo local) y se responde con status, metadatos, contenido_adaptado, evaluacion_calidad y almacenamiento_oci.</w:t>
      </w:r>
    </w:p>
    <w:p>
      <w:pPr>
        <w:pStyle w:val="Heading3"/>
      </w:pPr>
      <w:r>
        <w:t>Contrato de la API (endpoints principales)</w:t>
      </w:r>
    </w:p>
    <w:tbl>
      <w:tblPr>
        <w:tblW w:type="auto" w:w="0"/>
        <w:tblLayout w:type="fixed"/>
        <w:tblLook w:firstColumn="1" w:firstRow="1" w:lastColumn="0" w:lastRow="0" w:noHBand="0" w:noVBand="1" w:val="04A0"/>
        <w:tblBorders>
          <w:top w:val="single" w:sz="4" w:color="D9D3EC"/>
          <w:left w:val="single" w:sz="4" w:color="D9D3EC"/>
          <w:bottom w:val="single" w:sz="4" w:color="D9D3EC"/>
          <w:right w:val="single" w:sz="4" w:color="D9D3EC"/>
          <w:insideH w:val="single" w:sz="4" w:color="D9D3EC"/>
          <w:insideV w:val="single" w:sz="4" w:color="D9D3EC"/>
        </w:tblBorders>
      </w:tblPr>
      <w:tblGrid>
        <w:gridCol w:w="4706"/>
        <w:gridCol w:w="4706"/>
      </w:tblGrid>
      <w:tr>
        <w:tc>
          <w:tcPr>
            <w:tcW w:type="dxa" w:w="3742"/>
            <w:shd w:val="clear" w:color="auto" w:fill="4B2FC2"/>
          </w:tcPr>
          <w:p>
            <w:r/>
            <w:r>
              <w:rPr>
                <w:b/>
                <w:i w:val="0"/>
                <w:color w:val="FFFFFF"/>
                <w:sz w:val="19"/>
              </w:rPr>
              <w:t>Método y ruta</w:t>
            </w:r>
          </w:p>
        </w:tc>
        <w:tc>
          <w:tcPr>
            <w:tcW w:type="dxa" w:w="5669"/>
            <w:shd w:val="clear" w:color="auto" w:fill="4B2FC2"/>
          </w:tcPr>
          <w:p>
            <w:r/>
            <w:r>
              <w:rPr>
                <w:b/>
                <w:i w:val="0"/>
                <w:color w:val="FFFFFF"/>
                <w:sz w:val="19"/>
              </w:rPr>
              <w:t>Qué hace</w:t>
            </w:r>
          </w:p>
        </w:tc>
      </w:tr>
      <w:tr>
        <w:tc>
          <w:tcPr>
            <w:tcW w:type="dxa" w:w="3742"/>
          </w:tcPr>
          <w:p>
            <w:pPr>
              <w:spacing w:after="0"/>
            </w:pPr>
            <w:r/>
            <w:r>
              <w:rPr>
                <w:b/>
                <w:i w:val="0"/>
                <w:sz w:val="19"/>
              </w:rPr>
              <w:t>POST /api/v1/adaptar</w:t>
            </w:r>
          </w:p>
        </w:tc>
        <w:tc>
          <w:tcPr>
            <w:tcW w:type="dxa" w:w="5669"/>
          </w:tcPr>
          <w:p>
            <w:pPr>
              <w:spacing w:after="0"/>
            </w:pPr>
            <w:r/>
            <w:r>
              <w:rPr>
                <w:b w:val="0"/>
                <w:i w:val="0"/>
                <w:sz w:val="19"/>
              </w:rPr>
              <w:t>Adapta un documento enviado como JSON (la solicitud del enunciado)</w:t>
            </w:r>
          </w:p>
        </w:tc>
      </w:tr>
      <w:tr>
        <w:tc>
          <w:tcPr>
            <w:tcW w:type="dxa" w:w="3742"/>
          </w:tcPr>
          <w:p>
            <w:pPr>
              <w:spacing w:after="0"/>
            </w:pPr>
            <w:r/>
            <w:r>
              <w:rPr>
                <w:b/>
                <w:i w:val="0"/>
                <w:sz w:val="19"/>
              </w:rPr>
              <w:t>POST /api/v1/adaptar/archivo</w:t>
            </w:r>
          </w:p>
        </w:tc>
        <w:tc>
          <w:tcPr>
            <w:tcW w:type="dxa" w:w="5669"/>
          </w:tcPr>
          <w:p>
            <w:pPr>
              <w:spacing w:after="0"/>
            </w:pPr>
            <w:r/>
            <w:r>
              <w:rPr>
                <w:b w:val="0"/>
                <w:i w:val="0"/>
                <w:sz w:val="19"/>
              </w:rPr>
              <w:t>Adapta un archivo (multipart), con las mismas opciones</w:t>
            </w:r>
          </w:p>
        </w:tc>
      </w:tr>
      <w:tr>
        <w:tc>
          <w:tcPr>
            <w:tcW w:type="dxa" w:w="3742"/>
          </w:tcPr>
          <w:p>
            <w:pPr>
              <w:spacing w:after="0"/>
            </w:pPr>
            <w:r/>
            <w:r>
              <w:rPr>
                <w:b/>
                <w:i w:val="0"/>
                <w:sz w:val="19"/>
              </w:rPr>
              <w:t>GET /api/v1/contenidos/{id}</w:t>
            </w:r>
          </w:p>
        </w:tc>
        <w:tc>
          <w:tcPr>
            <w:tcW w:type="dxa" w:w="5669"/>
          </w:tcPr>
          <w:p>
            <w:pPr>
              <w:spacing w:after="0"/>
            </w:pPr>
            <w:r/>
            <w:r>
              <w:rPr>
                <w:b w:val="0"/>
                <w:i w:val="0"/>
                <w:sz w:val="19"/>
              </w:rPr>
              <w:t>Recupera un material guardado (404 si no existe)</w:t>
            </w:r>
          </w:p>
        </w:tc>
      </w:tr>
      <w:tr>
        <w:tc>
          <w:tcPr>
            <w:tcW w:type="dxa" w:w="3742"/>
          </w:tcPr>
          <w:p>
            <w:pPr>
              <w:spacing w:after="0"/>
            </w:pPr>
            <w:r/>
            <w:r>
              <w:rPr>
                <w:b/>
                <w:i w:val="0"/>
                <w:sz w:val="19"/>
              </w:rPr>
              <w:t>GET …/exportar?formato=</w:t>
            </w:r>
          </w:p>
        </w:tc>
        <w:tc>
          <w:tcPr>
            <w:tcW w:type="dxa" w:w="5669"/>
          </w:tcPr>
          <w:p>
            <w:pPr>
              <w:spacing w:after="0"/>
            </w:pPr>
            <w:r/>
            <w:r>
              <w:rPr>
                <w:b w:val="0"/>
                <w:i w:val="0"/>
                <w:sz w:val="19"/>
              </w:rPr>
              <w:t>docx · pdf · pptx · markdown · anki_csv</w:t>
            </w:r>
          </w:p>
        </w:tc>
      </w:tr>
      <w:tr>
        <w:tc>
          <w:tcPr>
            <w:tcW w:type="dxa" w:w="3742"/>
          </w:tcPr>
          <w:p>
            <w:pPr>
              <w:spacing w:after="0"/>
            </w:pPr>
            <w:r/>
            <w:r>
              <w:rPr>
                <w:b/>
                <w:i w:val="0"/>
                <w:sz w:val="19"/>
              </w:rPr>
              <w:t>GET …/video  ·  …/podcast</w:t>
            </w:r>
          </w:p>
        </w:tc>
        <w:tc>
          <w:tcPr>
            <w:tcW w:type="dxa" w:w="5669"/>
          </w:tcPr>
          <w:p>
            <w:pPr>
              <w:spacing w:after="0"/>
            </w:pPr>
            <w:r/>
            <w:r>
              <w:rPr>
                <w:b w:val="0"/>
                <w:i w:val="0"/>
                <w:sz w:val="19"/>
              </w:rPr>
              <w:t>MP4 narrado y MP3 de dos voces; con ?asincrono=1 responden 202 mientras se generan</w:t>
            </w:r>
          </w:p>
        </w:tc>
      </w:tr>
      <w:tr>
        <w:tc>
          <w:tcPr>
            <w:tcW w:type="dxa" w:w="3742"/>
          </w:tcPr>
          <w:p>
            <w:pPr>
              <w:spacing w:after="0"/>
            </w:pPr>
            <w:r/>
            <w:r>
              <w:rPr>
                <w:b/>
                <w:i w:val="0"/>
                <w:sz w:val="19"/>
              </w:rPr>
              <w:t>GET …/original</w:t>
            </w:r>
          </w:p>
        </w:tc>
        <w:tc>
          <w:tcPr>
            <w:tcW w:type="dxa" w:w="5669"/>
          </w:tcPr>
          <w:p>
            <w:pPr>
              <w:spacing w:after="0"/>
            </w:pPr>
            <w:r/>
            <w:r>
              <w:rPr>
                <w:b w:val="0"/>
                <w:i w:val="0"/>
                <w:sz w:val="19"/>
              </w:rPr>
              <w:t>El documento original tal como se subió</w:t>
            </w:r>
          </w:p>
        </w:tc>
      </w:tr>
      <w:tr>
        <w:tc>
          <w:tcPr>
            <w:tcW w:type="dxa" w:w="3742"/>
          </w:tcPr>
          <w:p>
            <w:pPr>
              <w:spacing w:after="0"/>
            </w:pPr>
            <w:r/>
            <w:r>
              <w:rPr>
                <w:b/>
                <w:i w:val="0"/>
                <w:sz w:val="19"/>
              </w:rPr>
              <w:t>GET /api/v1/opciones</w:t>
            </w:r>
          </w:p>
        </w:tc>
        <w:tc>
          <w:tcPr>
            <w:tcW w:type="dxa" w:w="5669"/>
          </w:tcPr>
          <w:p>
            <w:pPr>
              <w:spacing w:after="0"/>
            </w:pPr>
            <w:r/>
            <w:r>
              <w:rPr>
                <w:b w:val="0"/>
                <w:i w:val="0"/>
                <w:sz w:val="19"/>
              </w:rPr>
              <w:t>Perfiles, formatos, sectores, niveles, voces, extensiones y versión</w:t>
            </w:r>
          </w:p>
        </w:tc>
      </w:tr>
      <w:tr>
        <w:tc>
          <w:tcPr>
            <w:tcW w:type="dxa" w:w="3742"/>
          </w:tcPr>
          <w:p>
            <w:pPr>
              <w:spacing w:after="0"/>
            </w:pPr>
            <w:r/>
            <w:r>
              <w:rPr>
                <w:b/>
                <w:i w:val="0"/>
                <w:sz w:val="19"/>
              </w:rPr>
              <w:t>GET /health</w:t>
            </w:r>
          </w:p>
        </w:tc>
        <w:tc>
          <w:tcPr>
            <w:tcW w:type="dxa" w:w="5669"/>
          </w:tcPr>
          <w:p>
            <w:pPr>
              <w:spacing w:after="0"/>
            </w:pPr>
            <w:r/>
            <w:r>
              <w:rPr>
                <w:b w:val="0"/>
                <w:i w:val="0"/>
                <w:sz w:val="19"/>
              </w:rPr>
              <w:t>Estado del servicio, versión y si OCI está disponible</w:t>
            </w:r>
          </w:p>
        </w:tc>
      </w:tr>
      <w:tr>
        <w:tc>
          <w:tcPr>
            <w:tcW w:type="dxa" w:w="3742"/>
          </w:tcPr>
          <w:p>
            <w:pPr>
              <w:spacing w:after="0"/>
            </w:pPr>
            <w:r/>
            <w:r>
              <w:rPr>
                <w:b/>
                <w:i w:val="0"/>
                <w:sz w:val="19"/>
              </w:rPr>
              <w:t>POST /api/v1/calificaciones · GET /api/v1/estadisticas</w:t>
            </w:r>
          </w:p>
        </w:tc>
        <w:tc>
          <w:tcPr>
            <w:tcW w:type="dxa" w:w="5669"/>
          </w:tcPr>
          <w:p>
            <w:pPr>
              <w:spacing w:after="0"/>
            </w:pPr>
            <w:r/>
            <w:r>
              <w:rPr>
                <w:b w:val="0"/>
                <w:i w:val="0"/>
                <w:sz w:val="19"/>
              </w:rPr>
              <w:t>Opinión de los usuarios y panel de uso</w:t>
            </w:r>
          </w:p>
        </w:tc>
      </w:tr>
      <w:tr>
        <w:tc>
          <w:tcPr>
            <w:tcW w:type="dxa" w:w="3742"/>
          </w:tcPr>
          <w:p>
            <w:pPr>
              <w:spacing w:after="0"/>
            </w:pPr>
            <w:r/>
            <w:r>
              <w:rPr>
                <w:b/>
                <w:i w:val="0"/>
                <w:sz w:val="19"/>
              </w:rPr>
              <w:t>GET /docs</w:t>
            </w:r>
          </w:p>
        </w:tc>
        <w:tc>
          <w:tcPr>
            <w:tcW w:type="dxa" w:w="5669"/>
          </w:tcPr>
          <w:p>
            <w:pPr>
              <w:spacing w:after="0"/>
            </w:pPr>
            <w:r/>
            <w:r>
              <w:rPr>
                <w:b w:val="0"/>
                <w:i w:val="0"/>
                <w:sz w:val="19"/>
              </w:rPr>
              <w:t>Documentación interactiva (Swagger) generada por FastAPI</w:t>
            </w:r>
          </w:p>
        </w:tc>
      </w:tr>
    </w:tbl>
    <w:p>
      <w:pPr>
        <w:spacing w:after="40"/>
      </w:pPr>
    </w:p>
    <w:p>
      <w:pPr>
        <w:pStyle w:val="Heading3"/>
      </w:pPr>
      <w:r>
        <w:t>Cómo resiste las fallas</w:t>
      </w:r>
    </w:p>
    <w:p>
      <w:pPr>
        <w:pStyle w:val="ListBullet"/>
      </w:pPr>
      <w:r>
        <w:rPr>
          <w:b/>
          <w:i w:val="0"/>
        </w:rPr>
        <w:t xml:space="preserve">Cuota de Gemini: </w:t>
      </w:r>
      <w:r>
        <w:rPr>
          <w:b w:val="0"/>
          <w:i w:val="0"/>
        </w:rPr>
        <w:t>rota entre varios modelos (cada uno con su cuota diaria) y entre proveedores con LLM_PROVIDER=auto; si todo falla, el generador local produce el material y la interfaz lo indica.</w:t>
      </w:r>
    </w:p>
    <w:p>
      <w:pPr>
        <w:pStyle w:val="ListBullet"/>
      </w:pPr>
      <w:r>
        <w:rPr>
          <w:b/>
          <w:i w:val="0"/>
        </w:rPr>
        <w:t xml:space="preserve">Circuit breaker: </w:t>
      </w:r>
      <w:r>
        <w:rPr>
          <w:b w:val="0"/>
          <w:i w:val="0"/>
        </w:rPr>
        <w:t>un servicio que acaba de fallar queda en pausa unos minutos para no esperarlo en cada solicitud (llm/disponibilidad.py y el router de salud de llm/salud.py).</w:t>
      </w:r>
    </w:p>
    <w:p>
      <w:pPr>
        <w:pStyle w:val="ListBullet"/>
      </w:pPr>
      <w:r>
        <w:rPr>
          <w:b/>
          <w:i w:val="0"/>
        </w:rPr>
        <w:t xml:space="preserve">Almacenamiento: </w:t>
      </w:r>
      <w:r>
        <w:rPr>
          <w:b w:val="0"/>
          <w:i w:val="0"/>
        </w:rPr>
        <w:t>si OCI no responde, se guarda en data/fallback/ y la respuesta lo dice (status_upload «fallido_local»).</w:t>
      </w:r>
    </w:p>
    <w:p>
      <w:pPr>
        <w:pStyle w:val="ListBullet"/>
      </w:pPr>
      <w:r>
        <w:rPr>
          <w:b/>
          <w:i w:val="0"/>
        </w:rPr>
        <w:t xml:space="preserve">Archivos pesados: </w:t>
      </w:r>
      <w:r>
        <w:rPr>
          <w:b w:val="0"/>
          <w:i w:val="0"/>
        </w:rPr>
        <w:t>video y podcast se generan de a uno, en segundo plano y con ffmpeg de un hilo: un video de 12 escenas usa unos 280 MB, dentro de un servidor gratuito de 512 MB.</w:t>
      </w:r>
    </w:p>
    <w:p>
      <w:pPr>
        <w:pStyle w:val="ListBullet"/>
      </w:pPr>
      <w:r>
        <w:rPr>
          <w:b/>
          <w:i w:val="0"/>
        </w:rPr>
        <w:t xml:space="preserve">Voces: </w:t>
      </w:r>
      <w:r>
        <w:rPr>
          <w:b w:val="0"/>
          <w:i w:val="0"/>
        </w:rPr>
        <w:t>Gemini TTS con rotación de modelos; si no hay cuota, la voz del sistema, sin mezclar dos voces en un mismo video.</w:t>
      </w:r>
    </w:p>
    <w:p>
      <w:pPr>
        <w:pStyle w:val="Heading3"/>
      </w:pPr>
      <w:r>
        <w:t>Seguridad</w:t>
      </w:r>
    </w:p>
    <w:p>
      <w:pPr>
        <w:pStyle w:val="ListBullet"/>
      </w:pPr>
      <w:r>
        <w:rPr>
          <w:b w:val="0"/>
          <w:i w:val="0"/>
        </w:rPr>
        <w:t>El documento es dato, nunca instrucción: una orden escondida en el texto no cambia el comportamiento (probado).</w:t>
      </w:r>
    </w:p>
    <w:p>
      <w:pPr>
        <w:pStyle w:val="ListBullet"/>
      </w:pPr>
      <w:r>
        <w:rPr>
          <w:b w:val="0"/>
          <w:i w:val="0"/>
        </w:rPr>
        <w:t>La interfaz inserta todo como texto, nunca como HTML; los comandos de voz del documento se eliminan antes de narrar.</w:t>
      </w:r>
    </w:p>
    <w:p>
      <w:pPr>
        <w:pStyle w:val="ListBullet"/>
      </w:pPr>
      <w:r>
        <w:rPr>
          <w:b w:val="0"/>
          <w:i w:val="0"/>
        </w:rPr>
        <w:t>Las claves viven en .env y en el servidor, nunca en el repositorio ni en la imagen Docker.</w:t>
      </w:r>
    </w:p>
    <w:p>
      <w:pPr>
        <w:pStyle w:val="ListBullet"/>
      </w:pPr>
      <w:r>
        <w:rPr>
          <w:b w:val="0"/>
          <w:i w:val="0"/>
        </w:rPr>
        <w:t>La verificación TLS no se desactiva para el proceso; solo es opcional para OCI detrás de un proxy (OCI_SSL_VERIFY).</w:t>
      </w:r>
    </w:p>
    <w:p>
      <w:pPr>
        <w:pStyle w:val="ListBullet"/>
      </w:pPr>
      <w:r>
        <w:rPr>
          <w:b w:val="0"/>
          <w:i w:val="0"/>
        </w:rPr>
        <w:t>Las estadísticas guardan elecciones y resultados, nunca el texto de los documentos.</w:t>
      </w:r>
    </w:p>
    <w:p>
      <w:pPr>
        <w:pStyle w:val="Heading3"/>
      </w:pPr>
      <w:r>
        <w:t>Calidad</w:t>
      </w:r>
    </w:p>
    <w:tbl>
      <w:tblPr>
        <w:tblW w:type="auto" w:w="0"/>
        <w:tblLayout w:type="fixed"/>
        <w:tblLook w:firstColumn="1" w:firstRow="1" w:lastColumn="0" w:lastRow="0" w:noHBand="0" w:noVBand="1" w:val="04A0"/>
        <w:tblBorders>
          <w:top w:val="single" w:sz="4" w:color="D9D3EC"/>
          <w:left w:val="single" w:sz="4" w:color="D9D3EC"/>
          <w:bottom w:val="single" w:sz="4" w:color="D9D3EC"/>
          <w:right w:val="single" w:sz="4" w:color="D9D3EC"/>
          <w:insideH w:val="single" w:sz="4" w:color="D9D3EC"/>
          <w:insideV w:val="single" w:sz="4" w:color="D9D3EC"/>
        </w:tblBorders>
      </w:tblPr>
      <w:tblGrid>
        <w:gridCol w:w="4706"/>
        <w:gridCol w:w="4706"/>
      </w:tblGrid>
      <w:tr>
        <w:tc>
          <w:tcPr>
            <w:tcW w:type="dxa" w:w="2835"/>
            <w:shd w:val="clear" w:color="auto" w:fill="4B2FC2"/>
          </w:tcPr>
          <w:p>
            <w:r/>
            <w:r>
              <w:rPr>
                <w:b/>
                <w:i w:val="0"/>
                <w:color w:val="FFFFFF"/>
                <w:sz w:val="19"/>
              </w:rPr>
              <w:t>Indicador</w:t>
            </w:r>
          </w:p>
        </w:tc>
        <w:tc>
          <w:tcPr>
            <w:tcW w:type="dxa" w:w="6576"/>
            <w:shd w:val="clear" w:color="auto" w:fill="4B2FC2"/>
          </w:tcPr>
          <w:p>
            <w:r/>
            <w:r>
              <w:rPr>
                <w:b/>
                <w:i w:val="0"/>
                <w:color w:val="FFFFFF"/>
                <w:sz w:val="19"/>
              </w:rPr>
              <w:t>Valor</w:t>
            </w:r>
          </w:p>
        </w:tc>
      </w:tr>
      <w:tr>
        <w:tc>
          <w:tcPr>
            <w:tcW w:type="dxa" w:w="2835"/>
          </w:tcPr>
          <w:p>
            <w:pPr>
              <w:spacing w:after="0"/>
            </w:pPr>
            <w:r/>
            <w:r>
              <w:rPr>
                <w:b/>
                <w:i w:val="0"/>
                <w:sz w:val="19"/>
              </w:rPr>
              <w:t>Pruebas automatizadas</w:t>
            </w:r>
          </w:p>
        </w:tc>
        <w:tc>
          <w:tcPr>
            <w:tcW w:type="dxa" w:w="6576"/>
          </w:tcPr>
          <w:p>
            <w:pPr>
              <w:spacing w:after="0"/>
            </w:pPr>
            <w:r/>
            <w:r>
              <w:rPr>
                <w:b w:val="0"/>
                <w:i w:val="0"/>
                <w:sz w:val="19"/>
              </w:rPr>
              <w:t>263, sin red ni credenciales (pytest)</w:t>
            </w:r>
          </w:p>
        </w:tc>
      </w:tr>
      <w:tr>
        <w:tc>
          <w:tcPr>
            <w:tcW w:type="dxa" w:w="2835"/>
          </w:tcPr>
          <w:p>
            <w:pPr>
              <w:spacing w:after="0"/>
            </w:pPr>
            <w:r/>
            <w:r>
              <w:rPr>
                <w:b/>
                <w:i w:val="0"/>
                <w:sz w:val="19"/>
              </w:rPr>
              <w:t>Demo con Gemini</w:t>
            </w:r>
          </w:p>
        </w:tc>
        <w:tc>
          <w:tcPr>
            <w:tcW w:type="dxa" w:w="6576"/>
          </w:tcPr>
          <w:p>
            <w:pPr>
              <w:spacing w:after="0"/>
            </w:pPr>
            <w:r/>
            <w:r>
              <w:rPr>
                <w:b w:val="0"/>
                <w:i w:val="0"/>
                <w:sz w:val="19"/>
              </w:rPr>
              <w:t>3 escenarios de Salud aprobados: 1,00 · 1,00 · 0,92</w:t>
            </w:r>
          </w:p>
        </w:tc>
      </w:tr>
      <w:tr>
        <w:tc>
          <w:tcPr>
            <w:tcW w:type="dxa" w:w="2835"/>
          </w:tcPr>
          <w:p>
            <w:pPr>
              <w:spacing w:after="0"/>
            </w:pPr>
            <w:r/>
            <w:r>
              <w:rPr>
                <w:b/>
                <w:i w:val="0"/>
                <w:sz w:val="19"/>
              </w:rPr>
              <w:t>Contrato JSON</w:t>
            </w:r>
          </w:p>
        </w:tc>
        <w:tc>
          <w:tcPr>
            <w:tcW w:type="dxa" w:w="6576"/>
          </w:tcPr>
          <w:p>
            <w:pPr>
              <w:spacing w:after="0"/>
            </w:pPr>
            <w:r/>
            <w:r>
              <w:rPr>
                <w:b w:val="0"/>
                <w:i w:val="0"/>
                <w:sz w:val="19"/>
              </w:rPr>
              <w:t>Probado con la solicitud exacta del enunciado</w:t>
            </w:r>
          </w:p>
        </w:tc>
      </w:tr>
      <w:tr>
        <w:tc>
          <w:tcPr>
            <w:tcW w:type="dxa" w:w="2835"/>
          </w:tcPr>
          <w:p>
            <w:pPr>
              <w:spacing w:after="0"/>
            </w:pPr>
            <w:r/>
            <w:r>
              <w:rPr>
                <w:b/>
                <w:i w:val="0"/>
                <w:sz w:val="19"/>
              </w:rPr>
              <w:t>Seguridad</w:t>
            </w:r>
          </w:p>
        </w:tc>
        <w:tc>
          <w:tcPr>
            <w:tcW w:type="dxa" w:w="6576"/>
          </w:tcPr>
          <w:p>
            <w:pPr>
              <w:spacing w:after="0"/>
            </w:pPr>
            <w:r/>
            <w:r>
              <w:rPr>
                <w:b w:val="0"/>
                <w:i w:val="0"/>
                <w:sz w:val="19"/>
              </w:rPr>
              <w:t>Inyección de instrucciones, HTML y TLS cubiertos por pruebas</w:t>
            </w:r>
          </w:p>
        </w:tc>
      </w:tr>
      <w:tr>
        <w:tc>
          <w:tcPr>
            <w:tcW w:type="dxa" w:w="2835"/>
          </w:tcPr>
          <w:p>
            <w:pPr>
              <w:spacing w:after="0"/>
            </w:pPr>
            <w:r/>
            <w:r>
              <w:rPr>
                <w:b/>
                <w:i w:val="0"/>
                <w:sz w:val="19"/>
              </w:rPr>
              <w:t>Versión</w:t>
            </w:r>
          </w:p>
        </w:tc>
        <w:tc>
          <w:tcPr>
            <w:tcW w:type="dxa" w:w="6576"/>
          </w:tcPr>
          <w:p>
            <w:pPr>
              <w:spacing w:after="0"/>
            </w:pPr>
            <w:r/>
            <w:r>
              <w:rPr>
                <w:b w:val="0"/>
                <w:i w:val="0"/>
                <w:sz w:val="19"/>
              </w:rPr>
              <w:t>1.4 (1.N = Sprint N), visible en la interfaz y en /health</w:t>
            </w:r>
          </w:p>
        </w:tc>
      </w:tr>
    </w:tbl>
    <w:p>
      <w:pPr>
        <w:spacing w:after="40"/>
      </w:pPr>
    </w:p>
    <w:p>
      <w:pPr>
        <w:pStyle w:val="Heading1"/>
      </w:pPr>
      <w:r>
        <w:t>Preguntas probables del jurado</w:t>
      </w:r>
    </w:p>
    <w:p>
      <w:pPr>
        <w:pStyle w:val="Heading3"/>
      </w:pPr>
      <w:r>
        <w:t>¿Cómo saben que la IA no inventa?</w:t>
      </w:r>
    </w:p>
    <w:p>
      <w:r>
        <w:rPr>
          <w:b w:val="0"/>
          <w:i w:val="0"/>
        </w:rPr>
        <w:t>Cada afirmación cita un fragmento y se compara con él. Las dudosas las revisa un juez de IA que solo puede aprobarlas con una cita textual, y el código comprueba que esa cita exista en el documento. Si no alcanza el umbral, el Crítico pide una corrección; si aun así no llega, el material se entrega marcado y con las afirmaciones no sustentadas a la vista.</w:t>
      </w:r>
    </w:p>
    <w:p>
      <w:pPr>
        <w:pStyle w:val="Heading3"/>
      </w:pPr>
      <w:r>
        <w:t>¿Qué pasa si se agota la cuota gratuita de Gemini?</w:t>
      </w:r>
    </w:p>
    <w:p>
      <w:r>
        <w:rPr>
          <w:b w:val="0"/>
          <w:i w:val="0"/>
        </w:rPr>
        <w:t>La app rota entre varios modelos de Gemini, cada uno con su cuota, y si se agotan todos genera con un respaldo local y lo indica. Nunca deja al usuario sin material. También admite Groq, Cerebras u OpenRouter.</w:t>
      </w:r>
    </w:p>
    <w:p>
      <w:pPr>
        <w:pStyle w:val="Heading3"/>
      </w:pPr>
      <w:r>
        <w:t>¿Por qué no LangChain para todo?</w:t>
      </w:r>
    </w:p>
    <w:p>
      <w:r>
        <w:rPr>
          <w:b w:val="0"/>
          <w:i w:val="0"/>
        </w:rPr>
        <w:t>Usamos LangGraph para la orquestación, que es lo que pide el enunciado como grafo de decisión. Para el resto preferimos piezas propias y pequeñas: son más fáciles de probar y de explicar.</w:t>
      </w:r>
    </w:p>
    <w:p>
      <w:pPr>
        <w:pStyle w:val="Heading3"/>
      </w:pPr>
      <w:r>
        <w:t>¿Usan ChromaDB o FAISS?</w:t>
      </w:r>
    </w:p>
    <w:p>
      <w:r>
        <w:rPr>
          <w:b w:val="0"/>
          <w:i w:val="0"/>
        </w:rPr>
        <w:t>Por defecto un almacén vectorial propio, aislado por documento. ChromaDB está integrado como opción (VECTOR_STORE=chroma) con la misma interfaz.</w:t>
      </w:r>
    </w:p>
    <w:p>
      <w:pPr>
        <w:pStyle w:val="Heading3"/>
      </w:pPr>
      <w:r>
        <w:t>¿Cuánto del documento lee la IA?</w:t>
      </w:r>
    </w:p>
    <w:p>
      <w:r>
        <w:rPr>
          <w:b w:val="0"/>
          <w:i w:val="0"/>
        </w:rPr>
        <w:t>No lee todo: recupera los fragmentos más relevantes de cada sección. En nuestros documentos recibe entre 900 y 2.100 palabras, y el material cubre todas las secciones.</w:t>
      </w:r>
    </w:p>
    <w:p>
      <w:pPr>
        <w:pStyle w:val="Heading3"/>
      </w:pPr>
      <w:r>
        <w:t>¿Qué pasa con documentos escaneados?</w:t>
      </w:r>
    </w:p>
    <w:p>
      <w:r>
        <w:rPr>
          <w:b w:val="0"/>
          <w:i w:val="0"/>
        </w:rPr>
        <w:t>Si el PDF no tiene texto, Gemini lo transcribe con OCR. Si no reconoce texto suficiente, se avisa al usuario.</w:t>
      </w:r>
    </w:p>
    <w:p>
      <w:pPr>
        <w:pStyle w:val="Heading3"/>
      </w:pPr>
      <w:r>
        <w:t>¿Cómo cuidan los datos sensibles?</w:t>
      </w:r>
    </w:p>
    <w:p>
      <w:r>
        <w:rPr>
          <w:b w:val="0"/>
          <w:i w:val="0"/>
        </w:rPr>
        <w:t>El usuario acepta un aviso legal antes de procesar; no se guarda el texto en las estadísticas; las claves nunca están en el repositorio; y el documento se trata como dato, no como instrucción.</w:t>
      </w:r>
    </w:p>
    <w:p>
      <w:pPr>
        <w:pStyle w:val="Heading3"/>
      </w:pPr>
      <w:r>
        <w:t>¿Cuesta algo mantenerlo?</w:t>
      </w:r>
    </w:p>
    <w:p>
      <w:r>
        <w:rPr>
          <w:b w:val="0"/>
          <w:i w:val="0"/>
        </w:rPr>
        <w:t>No: Gemini en su plan gratuito, OCI en la capa Always Free y despliegue en un servicio gratuito o una VM Always Free.</w:t>
      </w:r>
    </w:p>
    <w:p>
      <w:pPr>
        <w:pStyle w:val="Heading1"/>
      </w:pPr>
      <w:r>
        <w:t>Lista de verificación antes de exponer</w:t>
      </w:r>
    </w:p>
    <w:p>
      <w:pPr>
        <w:pStyle w:val="ListBullet"/>
      </w:pPr>
      <w:r>
        <w:rPr>
          <w:b w:val="0"/>
          <w:i w:val="0"/>
        </w:rPr>
        <w:t>☐  La app abre en http://localhost:8000/ (o en la URL desplegada) y el pie dice «Versión 1.4».</w:t>
      </w:r>
    </w:p>
    <w:p>
      <w:pPr>
        <w:pStyle w:val="ListBullet"/>
      </w:pPr>
      <w:r>
        <w:rPr>
          <w:b w:val="0"/>
          <w:i w:val="0"/>
        </w:rPr>
        <w:t>☐  GET /health responde «ok»; revisar si oci_disponible y una subida real funcionan (scripts/test_oci_conexion.py).</w:t>
      </w:r>
    </w:p>
    <w:p>
      <w:pPr>
        <w:pStyle w:val="ListBullet"/>
      </w:pPr>
      <w:r>
        <w:rPr>
          <w:b w:val="0"/>
          <w:i w:val="0"/>
        </w:rPr>
        <w:t>☐  Cuota de Gemini: generar un material de prueba esa mañana; si sale con el generador local, preparar el plan B.</w:t>
      </w:r>
    </w:p>
    <w:p>
      <w:pPr>
        <w:pStyle w:val="ListBullet"/>
      </w:pPr>
      <w:r>
        <w:rPr>
          <w:b w:val="0"/>
          <w:i w:val="0"/>
        </w:rPr>
        <w:t>☐  Historial con al menos un Quiz, un Resumen Ejecutivo y un Guion de Clase ya generados.</w:t>
      </w:r>
    </w:p>
    <w:p>
      <w:pPr>
        <w:pStyle w:val="ListBullet"/>
      </w:pPr>
      <w:r>
        <w:rPr>
          <w:b w:val="0"/>
          <w:i w:val="0"/>
        </w:rPr>
        <w:t>☐  Video del guion generado de antemano (tarda 1 a 3 minutos): mostrarlo, no generarlo en vivo.</w:t>
      </w:r>
    </w:p>
    <w:p>
      <w:pPr>
        <w:pStyle w:val="ListBullet"/>
      </w:pPr>
      <w:r>
        <w:rPr>
          <w:b w:val="0"/>
          <w:i w:val="0"/>
        </w:rPr>
        <w:t>☐  Pestaña /docs abierta con la solicitud del enunciado lista para ejecutar.</w:t>
      </w:r>
    </w:p>
    <w:p>
      <w:pPr>
        <w:pStyle w:val="ListBullet"/>
      </w:pPr>
      <w:r>
        <w:rPr>
          <w:b w:val="0"/>
          <w:i w:val="0"/>
        </w:rPr>
        <w:t>☐  Carpeta docs/demo/resultados/ abierta por si hay que mostrar la evidencia guardada.</w:t>
      </w:r>
    </w:p>
    <w:p>
      <w:pPr>
        <w:pStyle w:val="ListBullet"/>
      </w:pPr>
      <w:r>
        <w:rPr>
          <w:b w:val="0"/>
          <w:i w:val="0"/>
        </w:rPr>
        <w:t>☐  Cada orador ensayó su bloque con cronómetro: el total no debe pasar de 12 minutos.</w:t>
      </w:r>
    </w:p>
    <w:tbl>
      <w:tblPr>
        <w:tblW w:type="auto" w:w="0"/>
        <w:tblLayout w:type="fixed"/>
        <w:tblLook w:firstColumn="1" w:firstRow="1" w:lastColumn="0" w:lastRow="0" w:noHBand="0" w:noVBand="1" w:val="04A0"/>
        <w:tblBorders>
          <w:top w:val="single" w:sz="4" w:color="F5E3A8"/>
          <w:left w:val="single" w:sz="4" w:color="F5E3A8"/>
          <w:bottom w:val="single" w:sz="4" w:color="F5E3A8"/>
          <w:right w:val="single" w:sz="4" w:color="F5E3A8"/>
          <w:insideH w:val="single" w:sz="4" w:color="F5E3A8"/>
          <w:insideV w:val="single" w:sz="4" w:color="F5E3A8"/>
        </w:tblBorders>
      </w:tblPr>
      <w:tblGrid>
        <w:gridCol w:w="9412"/>
      </w:tblGrid>
      <w:tr>
        <w:tc>
          <w:tcPr>
            <w:tcW w:type="dxa" w:w="9411"/>
            <w:shd w:val="clear" w:color="auto" w:fill="FFF4D4"/>
          </w:tcPr>
          <w:p>
            <w:pPr>
              <w:spacing w:after="80"/>
            </w:pPr>
            <w:r/>
            <w:r>
              <w:rPr>
                <w:b w:val="0"/>
                <w:i w:val="0"/>
                <w:sz w:val="23"/>
              </w:rPr>
              <w:t>Consejo: si algo falla en vivo, no hay que disculparse de más. Basta con decir «la app pasa a su respaldo y lo indica, que es justo para lo que está diseñada» y seguir con la evidencia guardada.</w:t>
            </w:r>
          </w:p>
        </w:tc>
      </w:tr>
    </w:tbl>
    <w:p>
      <w:pPr>
        <w:spacing w:after="40"/>
      </w:pP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6E6480"/>
        <w:sz w:val="17"/>
      </w:rPr>
      <w:t>Kairos G10 - NuevaMente · Guion de presentación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D24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4B2FC2"/>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244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4B2FC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