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r>
        <w:rPr>
          <w:b/>
          <w:i w:val="0"/>
          <w:color w:val="4B2FC2"/>
          <w:sz w:val="22"/>
        </w:rPr>
        <w:t>SPEECH TÉCNICO</w:t>
      </w:r>
    </w:p>
    <w:p>
      <w:r>
        <w:rPr>
          <w:b/>
          <w:i w:val="0"/>
          <w:color w:val="2D2440"/>
          <w:sz w:val="60"/>
        </w:rPr>
        <w:t>Kairos G10 - NuevaMente</w:t>
      </w:r>
    </w:p>
    <w:p>
      <w:pPr>
        <w:pBdr>
          <w:bottom w:val="single" w:sz="12" w:space="8" w:color="4B2FC2"/>
        </w:pBdr>
      </w:pPr>
      <w:r>
        <w:rPr>
          <w:b w:val="0"/>
          <w:i w:val="0"/>
          <w:color w:val="6E6480"/>
          <w:sz w:val="26"/>
        </w:rPr>
        <w:t>Cómo está construida la aplicación, capa por capa</w:t>
      </w:r>
    </w:p>
    <w:p/>
    <w:p>
      <w:r>
        <w:rPr>
          <w:b/>
          <w:i w:val="0"/>
          <w:sz w:val="22"/>
        </w:rPr>
        <w:t>Equipo Kairos G10 · G10-LATAM-equipo 41</w:t>
      </w:r>
    </w:p>
    <w:p>
      <w:r>
        <w:rPr>
          <w:b w:val="0"/>
          <w:i w:val="0"/>
          <w:sz w:val="20"/>
        </w:rPr>
        <w:t>Hackathon ONE G10 (Oracle Next Education y Alura) · Proyecto 1</w:t>
      </w:r>
    </w:p>
    <w:p>
      <w:r>
        <w:rPr>
          <w:b w:val="0"/>
          <w:i w:val="0"/>
          <w:sz w:val="20"/>
        </w:rPr>
        <w:t>Versión de la aplicación: 1.4 · Duración: unos 16 minutos (se puede recortar por bloques)</w:t>
      </w:r>
    </w:p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Cómo usar este speech</w:t>
      </w:r>
    </w:p>
    <w:p>
      <w:r>
        <w:rPr>
          <w:b w:val="0"/>
          <w:i w:val="0"/>
        </w:rPr>
        <w:t>Es la explicación técnica completa del proyecto, pensada para una sesión con evaluadores técnicos o para una defensa del código. Cada bloque lo presenta quien construyó esa parte. Trae tres recuadros:</w:t>
      </w:r>
    </w:p>
    <w:p>
      <w:pPr>
        <w:pStyle w:val="ListBullet"/>
      </w:pPr>
      <w:r>
        <w:rPr>
          <w:b/>
          <w:i w:val="0"/>
        </w:rPr>
        <w:t>Lo que se dice:</w:t>
      </w:r>
      <w:r>
        <w:rPr>
          <w:b w:val="0"/>
          <w:i w:val="0"/>
        </w:rPr>
        <w:t xml:space="preserve"> el texto para decir (morado). Las indicaciones entre corchetes, en naranja, no se leen.</w:t>
      </w:r>
    </w:p>
    <w:p>
      <w:pPr>
        <w:pStyle w:val="ListBullet"/>
      </w:pPr>
      <w:r>
        <w:rPr>
          <w:b/>
          <w:i w:val="0"/>
        </w:rPr>
        <w:t>Datos clave:</w:t>
      </w:r>
      <w:r>
        <w:rPr>
          <w:b w:val="0"/>
          <w:i w:val="0"/>
        </w:rPr>
        <w:t xml:space="preserve"> las cifras y nombres tal como están en el código (verde), para responder con precisión.</w:t>
      </w:r>
    </w:p>
    <w:p>
      <w:pPr>
        <w:pStyle w:val="ListBullet"/>
      </w:pPr>
      <w:r>
        <w:rPr>
          <w:b/>
          <w:i w:val="0"/>
        </w:rPr>
        <w:t>Si el jurado pregunta:</w:t>
      </w:r>
      <w:r>
        <w:rPr>
          <w:b w:val="0"/>
          <w:i w:val="0"/>
        </w:rPr>
        <w:t xml:space="preserve"> respuestas cortas a lo que suele preguntar un jurado técnico (amarillo).</w:t>
      </w:r>
    </w:p>
    <w:p>
      <w:r>
        <w:rPr>
          <w:b w:val="0"/>
          <w:i w:val="0"/>
        </w:rPr>
        <w:t>Si hay menos tiempo, los bloques 2, 9 y 10 se pueden resumir en una frase cada uno.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309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9"/>
              </w:rPr>
              <w:t>Bloque</w:t>
            </w:r>
          </w:p>
        </w:tc>
        <w:tc>
          <w:tcPr>
            <w:tcW w:type="dxa" w:w="964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9"/>
              </w:rPr>
              <w:t>Tiempo</w:t>
            </w:r>
          </w:p>
        </w:tc>
        <w:tc>
          <w:tcPr>
            <w:tcW w:type="dxa" w:w="3572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9"/>
              </w:rPr>
              <w:t>Orador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Mapa técnico del proyecto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1:00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Juan Pablo Calla (PM)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Ingesta: leer cualquier documento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1:30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Gaspar Martinez (datos)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RAG: embeddings y búsqueda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1:30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Gaspar Martinez (datos)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Orquestación con LangGraph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1:30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Bryan Infante (IA)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Prompts y generación con el LLM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1:30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Bryan Infante (IA)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Proveedores de IA y resiliencia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1:15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Adrian Gil (ML)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Fidelidad: verificador y juez de IA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1:30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Adrian Gil (ML)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Contratos, API y persistencia en OCI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1:30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Ethan Espinoza (backend)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Interfaz web, exportaciones y estadísticas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1:30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Dario Higuera (interfaz)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10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Video y podcast narrados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1:00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Dario Higuera (interfaz)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11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Calidad: pruebas y demo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1:00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Diana Dure (QA)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12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Despliegue y operación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1:00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Ethan Espinoza / Juan Pablo Calla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13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Decisiones, límites y próximos pasos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0:45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1"/>
      </w:pPr>
      <w:r>
        <w:t>Speech técnico</w:t>
      </w:r>
    </w:p>
    <w:p>
      <w:pPr>
        <w:pStyle w:val="Heading2"/>
      </w:pPr>
      <w:r>
        <w:t>1. Mapa técnico del proyecto</w:t>
      </w:r>
    </w:p>
    <w:p>
      <w:r>
        <w:rPr>
          <w:b/>
          <w:i w:val="0"/>
          <w:color w:val="E05A3A"/>
          <w:sz w:val="20"/>
        </w:rPr>
        <w:t>⏱ 1:00   ·   🎤 Juan Pablo Calla (PM)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diagrama de arquitectura por capas]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Kairos es una aplicación en Python 3.12 con un solo backend en FastAPI, que sirve a la vez la API REST y la interfaz web. Por dentro tiene siete capas: ingesta, RAG, orquestación con LangGraph, generación con el LLM, verificación de fidelidad, persistencia en OCI y exportación.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Una decisión guió todo el diseño: cada pieza externa, sea Gemini, los embeddings, las voces o la nube, tiene un respaldo local con la misma interfaz. Si un servicio falla, la aplicación sigue funcionando y lo dice. Por eso el pipeline es real de punta a punta, incluso sin credenciales.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Les vamos a contar cada capa en el orden en que viaja una solicitud.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Paquete: src/nuevamente/ — módulos ingest, rag, agents, llm, fidelity, cache, storage, schemas, api, exports, web.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Un proceso: uvicorn nuevamente.api.app:app sirve la API y la interfaz en http://localhost:8000/.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Versión 1.4 (1.N = Sprint N), definida en src/nuevamente/__init__.py.</w:t>
            </w:r>
          </w:p>
        </w:tc>
      </w:tr>
    </w:tbl>
    <w:p>
      <w:pPr>
        <w:spacing w:after="40"/>
      </w:pPr>
    </w:p>
    <w:p>
      <w:pPr>
        <w:pStyle w:val="Heading2"/>
      </w:pPr>
      <w:r>
        <w:t>2. Ingesta: leer cualquier documento</w:t>
      </w:r>
    </w:p>
    <w:p>
      <w:r>
        <w:rPr>
          <w:b/>
          <w:i w:val="0"/>
          <w:color w:val="E05A3A"/>
          <w:sz w:val="20"/>
        </w:rPr>
        <w:t>⏱ 1:30   ·   🎤 Gaspar Martinez (datos)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ingest/readers.py y un PDF de ejemplo]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La ingesta acepta PDF, Word, Markdown y texto. Elegimos el lector por la extensión: pypdf para PDF y python-docx para Word, donde los títulos de Word se convierten en encabezados y las tablas se leen fila a fila.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Si un PDF no tiene texto, porque es un escaneo, se lo enviamos a Gemini para que lo transcriba: así no dependemos de instalar programas de OCR en el servidor.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Antes de usar el texto lo limpiamos: quitamos pies de página repetidos, números de página, índices, avisos legales, datos de contacto y viñetas sueltas, porque si no, la IA terminaría citándolos como si fueran contenido.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Después lo partimos en fragmentos y detectamos las secciones: títulos Markdown, títulos numerados y líneas en mayúsculas, incluso cuando un título ocupa dos líneas. Los títulos quedan en tipo oración, pero conservan las siglas y los nombres propios, y eso lo decide el propio documento: si el texto escribe «OSPF», es una sigla; si escribe «guía», no.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Formatos: .pdf, .docx, .md, .markdown, .txt (EXTENSIONES_SOPORTADAS).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Fragmentos: CHUNK_SIZE=900 caracteres, CHUNK_OVERLAP=150, cortados al final de una oración o palabra.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Cada fragmento tiene un chunk_id estable («&lt;doc_id&gt;-c007»), su sección y su orden.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doc_id: hash del contenido completo; dos documentos distintos nunca comparten índice.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Límites: 200.000 caracteres de texto pegado; archivos de hasta 10 MB (MAX_UPLOAD_MB).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5E3A8"/>
          <w:left w:val="single" w:sz="4" w:color="F5E3A8"/>
          <w:bottom w:val="single" w:sz="4" w:color="F5E3A8"/>
          <w:right w:val="single" w:sz="4" w:color="F5E3A8"/>
          <w:insideH w:val="single" w:sz="4" w:color="F5E3A8"/>
          <w:insideV w:val="single" w:sz="4" w:color="F5E3A8"/>
        </w:tblBorders>
      </w:tblPr>
      <w:tblGrid>
        <w:gridCol w:w="9412"/>
      </w:tblGrid>
      <w:tr>
        <w:tc>
          <w:tcPr>
            <w:tcW w:type="dxa" w:w="9411"/>
            <w:shd w:val="clear" w:color="auto" w:fill="FFF4D4"/>
          </w:tcPr>
          <w:p>
            <w:r/>
            <w:r>
              <w:rPr>
                <w:b/>
                <w:i w:val="0"/>
                <w:color w:val="6E6480"/>
                <w:sz w:val="18"/>
              </w:rPr>
              <w:t>SI EL JURADO PREGUNTA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¿Y si el PDF está mal estructurado?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 xml:space="preserve">   El texto anterior al primer título queda como «Introducción», y los títulos apilados sin texto se unen en una sola sección para no asignar contenido a un título equivocado.</w:t>
            </w:r>
          </w:p>
        </w:tc>
      </w:tr>
    </w:tbl>
    <w:p>
      <w:pPr>
        <w:spacing w:after="40"/>
      </w:pPr>
    </w:p>
    <w:p>
      <w:pPr>
        <w:pStyle w:val="Heading2"/>
      </w:pPr>
      <w:r>
        <w:t>3. RAG: embeddings y búsqueda</w:t>
      </w:r>
    </w:p>
    <w:p>
      <w:r>
        <w:rPr>
          <w:b/>
          <w:i w:val="0"/>
          <w:color w:val="E05A3A"/>
          <w:sz w:val="20"/>
        </w:rPr>
        <w:t>⏱ 1:30   ·   🎤 Gaspar Martinez (datos)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rag/embeddings.py y rag/vectorstore.py]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Cada fragmento se convierte en un embedding semántico con gemini-embedding-001, de 768 dimensiones. Distinguimos el tipo de tarea: los fragmentos se embeben como documento y las consultas como consulta, que es como Gemini da mejores resultados. Los pedimos en lotes de cien y guardamos en caché los ya calculados.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La diferencia se nota: ante la pregunta «¿qué hago con una aguja usada?», el índice por palabras no encuentra nada y el semántico va directo a la sección de residuos biocontaminados.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Si Gemini no responde, la colección completa pasa a TF-IDF local. Nunca mezclamos vectores de dos modelos, porque las similitudes dejarían de ser comparables.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Los vectores viven en un índice aislado por documento, con búsqueda por similitud de coseno y filtro por sección. El mismo índice puede usar ChromaDB persistente con una sola variable de entorno.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EMBEDDINGS_PROVIDER=auto: Gemini si hay API key; local: solo TF-IDF (scikit-learn, bigramas, stopwords en español).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Lotes de 100 textos por solicitud y caché de proceso de 5.000 vectores.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VECTOR_STORE=local (numpy) o chroma (ColeccionChroma, persistente en VECTORSTORE_DIR/chroma).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Interfaz común: buscar(consulta, top_k) y buscar_por_seccion(seccion, consulta, top_k).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5E3A8"/>
          <w:left w:val="single" w:sz="4" w:color="F5E3A8"/>
          <w:bottom w:val="single" w:sz="4" w:color="F5E3A8"/>
          <w:right w:val="single" w:sz="4" w:color="F5E3A8"/>
          <w:insideH w:val="single" w:sz="4" w:color="F5E3A8"/>
          <w:insideV w:val="single" w:sz="4" w:color="F5E3A8"/>
        </w:tblBorders>
      </w:tblPr>
      <w:tblGrid>
        <w:gridCol w:w="9412"/>
      </w:tblGrid>
      <w:tr>
        <w:tc>
          <w:tcPr>
            <w:tcW w:type="dxa" w:w="9411"/>
            <w:shd w:val="clear" w:color="auto" w:fill="FFF4D4"/>
          </w:tcPr>
          <w:p>
            <w:r/>
            <w:r>
              <w:rPr>
                <w:b/>
                <w:i w:val="0"/>
                <w:color w:val="6E6480"/>
                <w:sz w:val="18"/>
              </w:rPr>
              <w:t>SI EL JURADO PREGUNTA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¿Por qué no FAISS?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 xml:space="preserve">   Para documentos de decenas de fragmentos, un índice en numpy es exacto y simple; ChromaDB queda disponible para persistir y escalar sin tocar el resto del pipeline.</w:t>
            </w:r>
          </w:p>
        </w:tc>
      </w:tr>
    </w:tbl>
    <w:p>
      <w:pPr>
        <w:spacing w:after="40"/>
      </w:pPr>
    </w:p>
    <w:p>
      <w:pPr>
        <w:pStyle w:val="Heading2"/>
      </w:pPr>
      <w:r>
        <w:t>4. Orquestación con LangGraph</w:t>
      </w:r>
    </w:p>
    <w:p>
      <w:r>
        <w:rPr>
          <w:b/>
          <w:i w:val="0"/>
          <w:color w:val="E05A3A"/>
          <w:sz w:val="20"/>
        </w:rPr>
        <w:t>⏱ 1:30   ·   🎤 Bryan Infante (IA)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agents/graph.py, función construir_grafo]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La orquestación es un StateGraph de LangGraph. Cada agente es un nodo que lee y escribe un estado compartido: indexar, planificar, investigar, consultar caché, redactar, criticar y finalizar.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El Planificador descarta secciones que no enseñan nada, como el índice o la bibliografía, y extrae los conceptos clave. El Investigador recupera evidencia de cada sección, no un top-k global: así un documento de doce secciones genera material de las doce, y no solo de las primeras.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El punto clave es la arista condicional después del Crítico: si el material no alcanza el umbral de fidelidad y quedan reintentos, el grafo vuelve al Redactor con una retroalimentación concreta, por ejemplo qué afirmaciones no encontró en la fuente. Si el generador devuelve exactamente lo mismo, deja de reintentar.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Antes de redactar hay un nodo de caché: si ese mismo material ya fue aprobado, se devuelve sin llamar al LLM.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Nodos: indexar → planificar → investigar → consultar_cache → redactar → criticar → finalizar.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Evidencia: al menos 2 fragmentos por sección y 12 en total (_EVIDENCIA_OBJETIVO); el LLM recibe entre 900 y 2.100 palabras.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Reintentos del Crítico: MAX_REINTENTOS_CRITICO=2.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Caché de Ethan (cache/contenido.py): clave exacta con documento, evidencia, opciones, idioma y huella de los prompts; solo guarda lo aprobado.</w:t>
            </w:r>
          </w:p>
        </w:tc>
      </w:tr>
    </w:tbl>
    <w:p>
      <w:pPr>
        <w:spacing w:after="40"/>
      </w:pPr>
    </w:p>
    <w:p>
      <w:pPr>
        <w:pStyle w:val="Heading2"/>
      </w:pPr>
      <w:r>
        <w:t>5. Prompts y generación con el LLM</w:t>
      </w:r>
    </w:p>
    <w:p>
      <w:r>
        <w:rPr>
          <w:b/>
          <w:i w:val="0"/>
          <w:color w:val="E05A3A"/>
          <w:sz w:val="20"/>
        </w:rPr>
        <w:t>⏱ 1:30   ·   🎤 Bryan Infante (IA)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llm/prompts.py]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Todas las instrucciones están en un solo módulo. El prompt del Redactor combina role prompting, las reglas de cada perfil, de cada sector y de cada nivel de detalle, el formato pedido y un ejemplo few-shot por formato, que muestra cómo citar la fuente. El documento no va en el prompt de sistema: llega como fragmentos con su chunk_id, y la regla es usar solo esa evidencia y citarla.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Pedimos salida estructurada: el modelo recibe el esquema JSON exacto del formato, generado desde los modelos Pydantic. Si la respuesta no valida, le devolvemos el error para que lo corrija.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En la misma llamada pedimos los conceptos clave y los prerrequisitos. Así ahorramos una solicitud del cupo gratuito, y después los separamos del material para no cambiar su forma.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El idioma de salida también llega al prompt, y el material puede salir en otro idioma que el documento.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Seis esquemas Pydantic con extra="forbid": Flashcards, Quiz, Tutorial, Resumen Ejecutivo, Guion de Clase y Podcast.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Ejemplos few-shot validados en las pruebas contra el esquema de su formato.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Depuración posterior: se quita una parte que comparte el 85 % de sus palabras con otra; las opciones del quiz se mezclan.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Tiempo estimado de estudio: 1 minuto cada 120 palabras; no lo decide el modelo.</w:t>
            </w:r>
          </w:p>
        </w:tc>
      </w:tr>
    </w:tbl>
    <w:p>
      <w:pPr>
        <w:spacing w:after="40"/>
      </w:pPr>
    </w:p>
    <w:p>
      <w:pPr>
        <w:pStyle w:val="Heading2"/>
      </w:pPr>
      <w:r>
        <w:t>6. Proveedores de IA y resiliencia</w:t>
      </w:r>
    </w:p>
    <w:p>
      <w:r>
        <w:rPr>
          <w:b/>
          <w:i w:val="0"/>
          <w:color w:val="E05A3A"/>
          <w:sz w:val="20"/>
        </w:rPr>
        <w:t>⏱ 1:15   ·   🎤 Adrian Gil (ML)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llm/rotacion.py y llm/salud.py]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Usamos Gemini en su plan gratuito, que tiene pocas solicitudes por día y por modelo. Por eso la rotación tiene dos niveles: entre modelos de Gemini, cada uno con su propia cuota, y entre proveedores distintos, como Groq, Cerebras u OpenRouter, que hablan la misma API de chat.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Un error 429 de cuota diaria no se reintenta: se pasa directo al siguiente modelo. Un 503 sí se reintenta, con espera exponencial y una variación aleatoria. Y un servicio que acaba de fallar queda en pausa unos minutos, para no esperarlo en cada solicitud: es un circuit breaker.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Si todo falla, el generador local arma el material con frases del propio documento, y la interfaz avisa que no lo hizo la IA. El usuario nunca se queda sin resultado.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LLM_PROVIDER=gemini | claude | groq | cerebras | openrouter | auto (cadena).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LLM_MODELOS_RESPALDO: lista de modelos de Gemini; cada uno con su cuota diaria.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Pausa tras un fallo: LLM_PAUSA_TRAS_FALLO_MIN=10; circuito abierto tras 2 fallos seguidos (LLM_SALUD_UMBRAL_FALLOS).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Respaldo local: TemplateLLM (extractivo y determinista), con LLM_RESPALDO_LOCAL=true.</w:t>
            </w:r>
          </w:p>
        </w:tc>
      </w:tr>
    </w:tbl>
    <w:p>
      <w:pPr>
        <w:spacing w:after="40"/>
      </w:pPr>
    </w:p>
    <w:p>
      <w:pPr>
        <w:pStyle w:val="Heading2"/>
      </w:pPr>
      <w:r>
        <w:t>7. Fidelidad: verificador y juez de IA</w:t>
      </w:r>
    </w:p>
    <w:p>
      <w:r>
        <w:rPr>
          <w:b/>
          <w:i w:val="0"/>
          <w:color w:val="E05A3A"/>
          <w:sz w:val="20"/>
        </w:rPr>
        <w:t>⏱ 1:30   ·   🎤 Adrian Gil (ML)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fidelity/verifier.py y fidelity/juez.py; pestaña Fidelidad de la interfaz]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Cada afirmación del material cita el fragmento del que sale. El Crítico compara la afirmación con ese fragmento por similitud TF-IDF y la clasifica como sustentada, parcial o no sustentada. Una cita a un fragmento que no existe cuenta como no sustentada.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La similitud por palabras no reconoce una buena paráfrasis, así que las afirmaciones dudosas pasan a un juez de IA. El juez ve el fragmento citado y los más cercanos por significado, y para aprobar tiene que devolver una cita textual por cada hecho. Esa cita la comprobamos en el código: si no existe en el documento, el juez no convence a nadie. En la misma solicitud evalúa la coherencia didáctica.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El material se aprueba si alcanza el umbral: 85 % en general y 90 % en Salud. Si no trae afirmaciones con fuente, no se aprueba y su puntaje es cero.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Umbrales de similitud: sustentada desde 0,15; parcial entre 0,08 y 0,15; puntaje = (sustentadas + 0,5 × parciales) / total.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FIDELITY_MIN_GENERAL=0,85 y FIDELITY_MIN_SALUD=0,90.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Juez: hasta 15 afirmaciones por juicio, 3 fragmentos candidatos por afirmación, citas de al menos 15 caracteres; JUEZ_IA=auto | off.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En el Resumen se verifica cada oración; en el Guion, cada escena; en el Podcast, cada intervención de Leo.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5E3A8"/>
          <w:left w:val="single" w:sz="4" w:color="F5E3A8"/>
          <w:bottom w:val="single" w:sz="4" w:color="F5E3A8"/>
          <w:right w:val="single" w:sz="4" w:color="F5E3A8"/>
          <w:insideH w:val="single" w:sz="4" w:color="F5E3A8"/>
          <w:insideV w:val="single" w:sz="4" w:color="F5E3A8"/>
        </w:tblBorders>
      </w:tblPr>
      <w:tblGrid>
        <w:gridCol w:w="9412"/>
      </w:tblGrid>
      <w:tr>
        <w:tc>
          <w:tcPr>
            <w:tcW w:type="dxa" w:w="9411"/>
            <w:shd w:val="clear" w:color="auto" w:fill="FFF4D4"/>
          </w:tcPr>
          <w:p>
            <w:r/>
            <w:r>
              <w:rPr>
                <w:b/>
                <w:i w:val="0"/>
                <w:color w:val="6E6480"/>
                <w:sz w:val="18"/>
              </w:rPr>
              <w:t>SI EL JURADO PREGUNTA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¿El juez de IA no puede alucinar también?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 xml:space="preserve">   Puede intentarlo, pero no sirve de nada: solo cuenta lo que cita, y la cita se busca literalmente en el documento antes de aceptarla.</w:t>
            </w:r>
          </w:p>
        </w:tc>
      </w:tr>
    </w:tbl>
    <w:p>
      <w:pPr>
        <w:spacing w:after="40"/>
      </w:pPr>
    </w:p>
    <w:p>
      <w:pPr>
        <w:pStyle w:val="Heading2"/>
      </w:pPr>
      <w:r>
        <w:t>8. Contratos, API y persistencia en OCI</w:t>
      </w:r>
    </w:p>
    <w:p>
      <w:r>
        <w:rPr>
          <w:b/>
          <w:i w:val="0"/>
          <w:color w:val="E05A3A"/>
          <w:sz w:val="20"/>
        </w:rPr>
        <w:t>⏱ 1:30   ·   🎤 Ethan Espinoza (backend)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http://localhost:8000/docs y la solicitud del enunciado]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La API es FastAPI y valida todo con Pydantic. La respuesta pública tiene exactamente las claves del ejemplo del enunciado: status, metadatos, contenido adaptado, evaluación de calidad y almacenamiento en OCI. Lo interno, como las fuentes de cada parte o el detalle de la verificación, se guarda en un registro aparte y no ensucia el contrato. La entrada es flexible: acepta «Didactico» sin tilde y los nombres de formato del enunciado.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Cada material guarda en OCI Object Storage tres objetos: el texto extraído, el archivo original tal como se subió y el JSON del material. Si OCI no responde, se guarda en un respaldo local y la respuesta lo dice con status_upload. El namespace de OCI se consulta una sola vez para no gastar el cupo gratuito.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Y un detalle de seguridad: nunca desactivamos la verificación TLS de todo el proceso; si una red con proxy lo necesita, se desactiva solo para el cliente de OCI.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POST /api/v1/adaptar (JSON) · POST /api/v1/adaptar/archivo (multipart) · GET /api/v1/contenidos/{id}.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Objetos: originals/&lt;doc_id&gt;.txt, originals/&lt;doc_id&gt;/&lt;archivo&gt; y contenidos/&lt;doc_id&gt;/&lt;formato&gt;-&lt;perfil&gt;-&lt;id&gt;.json.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status_upload: «completado» (OCI) o «fallido_local» (data/fallback/).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Errores con mensaje en español: 422 de validación, 413 por tamaño, 400 por formato no compatible.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5E3A8"/>
          <w:left w:val="single" w:sz="4" w:color="F5E3A8"/>
          <w:bottom w:val="single" w:sz="4" w:color="F5E3A8"/>
          <w:right w:val="single" w:sz="4" w:color="F5E3A8"/>
          <w:insideH w:val="single" w:sz="4" w:color="F5E3A8"/>
          <w:insideV w:val="single" w:sz="4" w:color="F5E3A8"/>
        </w:tblBorders>
      </w:tblPr>
      <w:tblGrid>
        <w:gridCol w:w="9412"/>
      </w:tblGrid>
      <w:tr>
        <w:tc>
          <w:tcPr>
            <w:tcW w:type="dxa" w:w="9411"/>
            <w:shd w:val="clear" w:color="auto" w:fill="FFF4D4"/>
          </w:tcPr>
          <w:p>
            <w:r/>
            <w:r>
              <w:rPr>
                <w:b/>
                <w:i w:val="0"/>
                <w:color w:val="6E6480"/>
                <w:sz w:val="18"/>
              </w:rPr>
              <w:t>SI EL JURADO PREGUNTA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¿Qué pasa con la respuesta si OCI falla?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 xml:space="preserve">   La API responde igual, con el material y status_upload «fallido_local»: el fallo queda a la vista, nunca oculto.</w:t>
            </w:r>
          </w:p>
        </w:tc>
      </w:tr>
    </w:tbl>
    <w:p>
      <w:pPr>
        <w:spacing w:after="40"/>
      </w:pPr>
    </w:p>
    <w:p>
      <w:pPr>
        <w:pStyle w:val="Heading2"/>
      </w:pPr>
      <w:r>
        <w:t>9. Interfaz web, exportaciones y estadísticas</w:t>
      </w:r>
    </w:p>
    <w:p>
      <w:r>
        <w:rPr>
          <w:b/>
          <w:i w:val="0"/>
          <w:color w:val="E05A3A"/>
          <w:sz w:val="20"/>
        </w:rPr>
        <w:t>⏱ 1:30   ·   🎤 Dario Higuera (interfaz)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la interfaz con un Quiz abierto, luego el panel /estadisticas]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La interfaz es HTML, CSS y JavaScript sin framework, servida por la misma API. Todo lo que viene del documento o de la API se inserta como texto, nunca como HTML: un documento con scripts no puede ejecutar nada en el navegador.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Cada formato tiene su vista: las tarjetas se voltean, el quiz se corrige al instante y muestra la justificación, y el tutorial tiene un checklist con progreso. Hay modo claro y oscuro, historial con el documento de origen, y un aviso legal que hay que aceptar antes de procesar.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Las exportaciones comparten el diseño: Word y PDF salen de las mismas funciones, y el PowerPoint agrupa las diapositivas por sección. También se exporta a Markdown y a CSV para Anki.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Y el panel de estadísticas muestra uso, descargas, fidelidad y la opinión de los usuarios, sin guardar nunca el texto de los documentos.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Exportar: GET …/exportar?formato=docx | pdf | pptx | markdown | anki_csv.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Word y PDF: exports/documento.py y exports/pdf.py (fpdf2); PowerPoint: exports/presentacion.py.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Archivos versionados por su contenido (app.js?v=…), así el navegador nunca usa una copia vieja.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Estadísticas en data/estadisticas/eventos.jsonl; calificación de 1 a 5 estrellas por material.</w:t>
            </w:r>
          </w:p>
        </w:tc>
      </w:tr>
    </w:tbl>
    <w:p>
      <w:pPr>
        <w:spacing w:after="40"/>
      </w:pPr>
    </w:p>
    <w:p>
      <w:pPr>
        <w:pStyle w:val="Heading2"/>
      </w:pPr>
      <w:r>
        <w:t>10. Video y podcast narrados</w:t>
      </w:r>
    </w:p>
    <w:p>
      <w:r>
        <w:rPr>
          <w:b/>
          <w:i w:val="0"/>
          <w:color w:val="E05A3A"/>
          <w:sz w:val="20"/>
        </w:rPr>
        <w:t>⏱ 1:00   ·   🎤 Dario Higuera (interfaz)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el video del guion de clase y el reproductor del podcast]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El guion de clase se convierte en un video: cada escena es una diapositiva dibujada con Pillow, narrada con la voz natural de Gemini, y ffmpeg arma el MP4 con fundidos y volumen normalizado.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Como la cuota de voz es muy chica, toda la narración va en una sola solicitud y después cortamos el audio en las pausas entre escenas. Si Gemini no está disponible, todo el video se narra con la voz del sistema: nunca mezclamos dos voces.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El podcast es una conversación entre Ana, que pregunta, y Leo, que explica el documento, con una voz distinta para cada uno. Video y podcast se generan en segundo plano y de a uno, para que funcionen en un servidor de 512 MB.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Video: 1280×720, 25 fps, H.264 + AAC; fundido de 0,35 s; voces Charon (masculina) y Sulafat (femenina).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Memoria: un video de 12 escenas pasa de 610 MB a unos 280 MB con ffmpeg de un hilo (VIDEO_HILOS=1).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Con ?asincrono=1 responde 202 mientras se genera y la interfaz lo vuelve a pedir cada 3 segundos.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Podcast: Gemini TTS con dos locutores; rotación entre modelos TTS cuando uno se queda sin cuota.</w:t>
            </w:r>
          </w:p>
        </w:tc>
      </w:tr>
    </w:tbl>
    <w:p>
      <w:pPr>
        <w:spacing w:after="40"/>
      </w:pPr>
    </w:p>
    <w:p>
      <w:pPr>
        <w:pStyle w:val="Heading2"/>
      </w:pPr>
      <w:r>
        <w:t>11. Calidad: pruebas y demo</w:t>
      </w:r>
    </w:p>
    <w:p>
      <w:r>
        <w:rPr>
          <w:b/>
          <w:i w:val="0"/>
          <w:color w:val="E05A3A"/>
          <w:sz w:val="20"/>
        </w:rPr>
        <w:t>⏱ 1:00   ·   🎤 Diana Dure (QA)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salida de pytest y la carpeta docs/demo/resultados/]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Tenemos 263 pruebas automatizadas que corren sin red ni credenciales, en unos 30 segundos, y dan el mismo resultado en cualquier máquina. Cubren la ingesta, la búsqueda, el grafo, los prompts, la fidelidad, el juez de IA, las exportaciones, el video, la seguridad y la API, incluida la solicitud exacta del enunciado.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Para la IA real corrimos tres escenarios de Salud sobre el mismo documento, y los tres fueron aprobados por el Crítico. Y si un día la demo sale con el respaldo local por falta de cuota, el script no sobrescribe la evidencia generada con Gemini.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263 pruebas en 19 archivos (pytest); dobles de prueba en lugar de Gemini.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Demo: onboarding (Flashcards) 1,00 · capacitación regulatoria (Quiz) 1,00 · auditoría (Resumen) 0,92.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Seguridad probada: instrucciones inyectadas en el documento, HTML y TLS.</w:t>
            </w:r>
          </w:p>
        </w:tc>
      </w:tr>
    </w:tbl>
    <w:p>
      <w:pPr>
        <w:spacing w:after="40"/>
      </w:pPr>
    </w:p>
    <w:p>
      <w:pPr>
        <w:pStyle w:val="Heading2"/>
      </w:pPr>
      <w:r>
        <w:t>12. Despliegue y operación</w:t>
      </w:r>
    </w:p>
    <w:p>
      <w:r>
        <w:rPr>
          <w:b/>
          <w:i w:val="0"/>
          <w:color w:val="E05A3A"/>
          <w:sz w:val="20"/>
        </w:rPr>
        <w:t>⏱ 1:00   ·   🎤 Ethan Espinoza / Juan Pablo Calla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Dockerfile, render.yaml y docs/DEPLOY_OCI.md]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La aplicación está empaquetada en Docker, con ffmpeg, la voz de respaldo y las fuentes, y corre sin privilegios de administrador. Esa misma imagen se despliega en Render con un blueprint, en Railway, en Fly.io o en cualquier máquina con Docker.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Para la capa Always Free de OCI dejamos un script de instalación para Ubuntu, un servicio systemd que reinicia la app si se cae y nginx delante.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Toda la configuración va por variables de entorno, las claves nunca entran al repositorio ni a la imagen, y la versión de la app sigue el sprint: hoy es la 1.4.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Dockerfile: Python 3.12-slim, healthcheck en /health, puerto $PORT.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render.yaml: servicio web Docker en el plan gratuito; GEMINI_API_KEY se carga en el panel.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deploy/instalar.sh + kairos.service + nginx-kairos.conf; guía en docs/DEPLOY_OCI.md.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requirements.txt generado por script y verificado para Python 3.12 en Linux x86 y ARM.</w:t>
            </w:r>
          </w:p>
        </w:tc>
      </w:tr>
    </w:tbl>
    <w:p>
      <w:pPr>
        <w:spacing w:after="40"/>
      </w:pPr>
    </w:p>
    <w:p>
      <w:pPr>
        <w:pStyle w:val="Heading2"/>
      </w:pPr>
      <w:r>
        <w:t>13. Decisiones, límites y próximos pasos</w:t>
      </w:r>
    </w:p>
    <w:p>
      <w:r>
        <w:rPr>
          <w:b/>
          <w:i w:val="0"/>
          <w:color w:val="E05A3A"/>
          <w:sz w:val="20"/>
        </w:rPr>
        <w:t>⏱ 0:45   ·   🎤 Juan Pablo Calla (PM)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2DCF5"/>
          <w:left w:val="single" w:sz="4" w:color="E2DCF5"/>
          <w:bottom w:val="single" w:sz="4" w:color="E2DCF5"/>
          <w:right w:val="single" w:sz="4" w:color="E2DCF5"/>
          <w:insideH w:val="single" w:sz="4" w:color="E2DCF5"/>
          <w:insideV w:val="single" w:sz="4" w:color="E2DCF5"/>
        </w:tblBorders>
      </w:tblPr>
      <w:tblGrid>
        <w:gridCol w:w="9412"/>
      </w:tblGrid>
      <w:tr>
        <w:tc>
          <w:tcPr>
            <w:tcW w:type="dxa" w:w="9411"/>
            <w:shd w:val="clear" w:color="auto" w:fill="F3F0FB"/>
          </w:tcPr>
          <w:p>
            <w:r/>
            <w:r>
              <w:rPr>
                <w:b/>
                <w:i w:val="0"/>
                <w:color w:val="6E6480"/>
                <w:sz w:val="18"/>
              </w:rPr>
              <w:t>LO QUE SE DICE</w:t>
            </w:r>
          </w:p>
          <w:p>
            <w:pPr>
              <w:spacing w:after="80"/>
            </w:pPr>
            <w:r>
              <w:rPr>
                <w:b w:val="0"/>
                <w:i/>
                <w:color w:val="E05A3A"/>
                <w:sz w:val="20"/>
              </w:rPr>
              <w:t>[Pantalla: la tabla de decisiones del README]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Tomamos tres decisiones de fondo: preferir la fidelidad a la creatividad, tener siempre un respaldo local, y medir todo con pruebas.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Somos honestos con los límites: el plan gratuito de Gemini se agota rápido, y por eso existe toda la rotación; y la verificación por palabras necesita del juez de IA para reconocer paráfrasis.</w:t>
            </w:r>
          </w:p>
          <w:p>
            <w:pPr>
              <w:spacing w:after="80"/>
            </w:pPr>
            <w:r>
              <w:rPr>
                <w:b w:val="0"/>
                <w:i w:val="0"/>
                <w:sz w:val="23"/>
              </w:rPr>
              <w:t>Los próximos pasos son publicar en una instancia Always Free de OCI, conectar la interfaz al idioma de salida y sumar documentos con imágenes y diagramas.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FEBDD"/>
          <w:left w:val="single" w:sz="4" w:color="CFEBDD"/>
          <w:bottom w:val="single" w:sz="4" w:color="CFEBDD"/>
          <w:right w:val="single" w:sz="4" w:color="CFEBDD"/>
          <w:insideH w:val="single" w:sz="4" w:color="CFEBDD"/>
          <w:insideV w:val="single" w:sz="4" w:color="CFEBDD"/>
        </w:tblBorders>
      </w:tblPr>
      <w:tblGrid>
        <w:gridCol w:w="9412"/>
      </w:tblGrid>
      <w:tr>
        <w:tc>
          <w:tcPr>
            <w:tcW w:type="dxa" w:w="9411"/>
            <w:shd w:val="clear" w:color="auto" w:fill="EEF8F4"/>
          </w:tcPr>
          <w:p>
            <w:r/>
            <w:r>
              <w:rPr>
                <w:b/>
                <w:i w:val="0"/>
                <w:color w:val="6E6480"/>
                <w:sz w:val="18"/>
              </w:rPr>
              <w:t>DATOS CLAVE (EN EL CÓDIGO)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Pendiente operativo: registrar la llave de API en la consola de OCI (hoy responde 401) y crear la instancia.</w:t>
            </w:r>
          </w:p>
          <w:p>
            <w:pPr>
              <w:spacing w:after="80"/>
            </w:pPr>
            <w:r>
              <w:rPr>
                <w:b w:val="0"/>
                <w:i w:val="0"/>
                <w:sz w:val="21"/>
              </w:rPr>
              <w:t>• Historias de usuario v2.0: 99 historias, 95 hechas y 4 parciales (docs/entregables/).</w:t>
            </w:r>
          </w:p>
        </w:tc>
      </w:tr>
    </w:tbl>
    <w:p>
      <w:pPr>
        <w:spacing w:after="40"/>
      </w:pPr>
    </w:p>
    <w:p>
      <w:pPr>
        <w:pStyle w:val="Heading1"/>
      </w:pPr>
      <w:r>
        <w:t>Glosario rápido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c>
          <w:tcPr>
            <w:tcW w:type="dxa" w:w="2041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9"/>
              </w:rPr>
              <w:t>Término</w:t>
            </w:r>
          </w:p>
        </w:tc>
        <w:tc>
          <w:tcPr>
            <w:tcW w:type="dxa" w:w="7370"/>
            <w:shd w:val="clear" w:color="auto" w:fill="4B2FC2"/>
          </w:tcPr>
          <w:p>
            <w:r/>
            <w:r>
              <w:rPr>
                <w:b/>
                <w:i w:val="0"/>
                <w:color w:val="FFFFFF"/>
                <w:sz w:val="19"/>
              </w:rPr>
              <w:t>Qué significa en Kairos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RAG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Recuperar fragmentos del documento y dárselos al LLM como única evidencia para redactar.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Chunk / fragmento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Pedazo de unos 900 caracteres del documento, con identificador, sección y orden.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Embedding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Vector de 768 números que representa el significado de un texto; se comparan por coseno.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StateGraph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Grafo de LangGraph cuyos nodos (agentes) comparten un estado y pueden volver atrás.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Few-shot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Ejemplo de salida correcta dentro del prompt para guiar la forma de la respuesta.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Fidelidad / anclaje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Proporción de afirmaciones respaldadas por el fragmento que citan.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Juez de IA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Revisión de las afirmaciones dudosas que solo aprueba con citas textuales verificadas.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Circuit breaker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Pausa automática de un servicio que acaba de fallar para no esperarlo en cada solicitud.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i w:val="0"/>
                <w:sz w:val="19"/>
              </w:rPr>
              <w:t>Respaldo local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Alternativa sin red (TF-IDF, generador extractivo, voces del sistema, disco local).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E6480"/>
        <w:sz w:val="17"/>
      </w:rPr>
      <w:t>Kairos G10 - NuevaMente · Speech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D24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4B2FC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D24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B2FC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