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2400"/>
      </w:pPr>
      <w:r>
        <w:rPr>
          <w:b/>
          <w:bCs/>
          <w:color w:val="6C4EF5"/>
          <w:sz w:val="26"/>
          <w:szCs w:val="26"/>
        </w:rPr>
        <w:t xml:space="preserve">NuevaMente · Kairos G10</w:t>
      </w:r>
    </w:p>
    <w:p>
      <w:pPr>
        <w:spacing w:after="200"/>
      </w:pPr>
      <w:r>
        <w:rPr>
          <w:b/>
          <w:bCs/>
          <w:color w:val="2D2440"/>
          <w:sz w:val="52"/>
          <w:szCs w:val="52"/>
        </w:rPr>
        <w:t xml:space="preserve">Épicas del Sprint 5</w:t>
      </w:r>
    </w:p>
    <w:p>
      <w:pPr>
        <w:pBdr>
          <w:bottom w:val="single" w:color="6C4EF5" w:sz="12" w:space="8"/>
        </w:pBdr>
        <w:spacing w:after="600"/>
      </w:pPr>
      <w:r>
        <w:rPr>
          <w:color w:val="6E6480"/>
          <w:sz w:val="26"/>
          <w:szCs w:val="26"/>
        </w:rPr>
        <w:t xml:space="preserve">Lunes 19 al domingo 25 de octubre de 2026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038"/>
      </w:tblGrid>
      <w:tr>
        <w:tc>
          <w:tcPr>
            <w:tcW w:type="dxa" w:w="2600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shd w:fill="EFEA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Proyecto</w:t>
            </w:r>
          </w:p>
        </w:tc>
        <w:tc>
          <w:tcPr>
            <w:tcW w:type="dxa" w:w="7038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NuevaMente — Sistema Inteligente de Adaptación y Generación de Contenido Educativo</w:t>
            </w:r>
          </w:p>
        </w:tc>
      </w:tr>
      <w:tr>
        <w:tc>
          <w:tcPr>
            <w:tcW w:type="dxa" w:w="2600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shd w:fill="EFEA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Equipo</w:t>
            </w:r>
          </w:p>
        </w:tc>
        <w:tc>
          <w:tcPr>
            <w:tcW w:type="dxa" w:w="7038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Kairos G10 (G10-LATAM-equipo 41) · Nicho de foco: Salud</w:t>
            </w:r>
          </w:p>
        </w:tc>
      </w:tr>
      <w:tr>
        <w:tc>
          <w:tcPr>
            <w:tcW w:type="dxa" w:w="2600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shd w:fill="EFEA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Project Manager</w:t>
            </w:r>
          </w:p>
        </w:tc>
        <w:tc>
          <w:tcPr>
            <w:tcW w:type="dxa" w:w="7038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Juan Pablo Calla</w:t>
            </w:r>
          </w:p>
        </w:tc>
      </w:tr>
      <w:tr>
        <w:tc>
          <w:tcPr>
            <w:tcW w:type="dxa" w:w="2600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shd w:fill="EFEA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Objetivo del sprint</w:t>
            </w:r>
          </w:p>
        </w:tc>
        <w:tc>
          <w:tcPr>
            <w:tcW w:type="dxa" w:w="7038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Cerrar las historias pendientes del MVP (OCI y Always Free), atender la revisión del mentor y dejar la demo y la presentación listas.</w:t>
            </w:r>
          </w:p>
        </w:tc>
      </w:tr>
      <w:tr>
        <w:tc>
          <w:tcPr>
            <w:tcW w:type="dxa" w:w="2600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shd w:fill="EFEA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Fecha del documento</w:t>
            </w:r>
          </w:p>
        </w:tc>
        <w:tc>
          <w:tcPr>
            <w:tcW w:type="dxa" w:w="7038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19 de octubre de 2026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1. Resumen de épicas</w:t>
      </w:r>
    </w:p>
    <w:p>
      <w:pPr>
        <w:spacing w:after="120"/>
      </w:pPr>
      <w:r>
        <w:t xml:space="preserve">El Sprint 5 trabaja sobre 8 de las 15 épicas del documento de historias de usuario v2. Cuatro tienen tareas imprescindibles para cerrar el MVP: E09, E13, E03 y E14.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500"/>
        <w:gridCol w:w="5038"/>
        <w:gridCol w:w="1300"/>
      </w:tblGrid>
      <w:tr>
        <w:trPr>
          <w:tblHeader/>
        </w:trPr>
        <w:tc>
          <w:tcPr>
            <w:tcW w:type="dxa" w:w="800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shd w:fill="6C4E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Épica</w:t>
            </w:r>
          </w:p>
        </w:tc>
        <w:tc>
          <w:tcPr>
            <w:tcW w:type="dxa" w:w="2500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shd w:fill="6C4E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Nombre</w:t>
            </w:r>
          </w:p>
        </w:tc>
        <w:tc>
          <w:tcPr>
            <w:tcW w:type="dxa" w:w="5038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shd w:fill="6C4E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Tareas</w:t>
            </w:r>
          </w:p>
        </w:tc>
        <w:tc>
          <w:tcPr>
            <w:tcW w:type="dxa" w:w="1300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shd w:fill="6C4E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Prioridad</w:t>
            </w:r>
          </w:p>
        </w:tc>
      </w:tr>
      <w:tr>
        <w:tc>
          <w:tcPr>
            <w:tcW w:type="dxa" w:w="800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E09</w:t>
            </w:r>
          </w:p>
        </w:tc>
        <w:tc>
          <w:tcPr>
            <w:tcW w:type="dxa" w:w="2500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Persistencia en OCI Object Storage</w:t>
            </w:r>
          </w:p>
        </w:tc>
        <w:tc>
          <w:tcPr>
            <w:tcW w:type="dxa" w:w="5038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Guardar original y material en OCI Object Storage</w:t>
            </w:r>
          </w:p>
        </w:tc>
        <w:tc>
          <w:tcPr>
            <w:tcW w:type="dxa" w:w="1300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shd w:fill="FFE5E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Debe</w:t>
            </w:r>
          </w:p>
        </w:tc>
      </w:tr>
      <w:tr>
        <w:tc>
          <w:tcPr>
            <w:tcW w:type="dxa" w:w="800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E13</w:t>
            </w:r>
          </w:p>
        </w:tc>
        <w:tc>
          <w:tcPr>
            <w:tcW w:type="dxa" w:w="2500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Despliegue y operación</w:t>
            </w:r>
          </w:p>
        </w:tc>
        <w:tc>
          <w:tcPr>
            <w:tcW w:type="dxa" w:w="5038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Mantenerse en la capa Always Free · Variables de IA y de voz en Render (LLM_CADENA, claves y VIDEO_VOCES) · Despliegue en OCI Compute Always Free</w:t>
            </w:r>
          </w:p>
        </w:tc>
        <w:tc>
          <w:tcPr>
            <w:tcW w:type="dxa" w:w="1300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shd w:fill="FFE5E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Debe</w:t>
            </w:r>
          </w:p>
        </w:tc>
      </w:tr>
      <w:tr>
        <w:tc>
          <w:tcPr>
            <w:tcW w:type="dxa" w:w="800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E03</w:t>
            </w:r>
          </w:p>
        </w:tc>
        <w:tc>
          <w:tcPr>
            <w:tcW w:type="dxa" w:w="2500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Personalización del material</w:t>
            </w:r>
          </w:p>
        </w:tc>
        <w:tc>
          <w:tcPr>
            <w:tcW w:type="dxa" w:w="5038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Elegir el formato pedagógico (sin selección previa)</w:t>
            </w:r>
          </w:p>
        </w:tc>
        <w:tc>
          <w:tcPr>
            <w:tcW w:type="dxa" w:w="1300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shd w:fill="FFE5E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Debe</w:t>
            </w:r>
          </w:p>
        </w:tc>
      </w:tr>
      <w:tr>
        <w:tc>
          <w:tcPr>
            <w:tcW w:type="dxa" w:w="800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E14</w:t>
            </w:r>
          </w:p>
        </w:tc>
        <w:tc>
          <w:tcPr>
            <w:tcW w:type="dxa" w:w="2500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Calidad, pruebas y entregables</w:t>
            </w:r>
          </w:p>
        </w:tc>
        <w:tc>
          <w:tcPr>
            <w:tcW w:type="dxa" w:w="5038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Documento de demo de al menos 3000 palabras · Escenarios y casos de prueba ejecutados con el documento largo · Historias de usuario v3 (HU-31 hecha y las historias nuevas)</w:t>
            </w:r>
          </w:p>
        </w:tc>
        <w:tc>
          <w:tcPr>
            <w:tcW w:type="dxa" w:w="1300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shd w:fill="FFE5E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Debe</w:t>
            </w:r>
          </w:p>
        </w:tc>
      </w:tr>
      <w:tr>
        <w:tc>
          <w:tcPr>
            <w:tcW w:type="dxa" w:w="800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E06</w:t>
            </w:r>
          </w:p>
        </w:tc>
        <w:tc>
          <w:tcPr>
            <w:tcW w:type="dxa" w:w="2500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Verificación de fidelidad</w:t>
            </w:r>
          </w:p>
        </w:tc>
        <w:tc>
          <w:tcPr>
            <w:tcW w:type="dxa" w:w="5038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Medición de partida con un conjunto fijo de documentos y formatos · Comparar por significado (embeddings de Gemini) y volver a medir</w:t>
            </w:r>
          </w:p>
        </w:tc>
        <w:tc>
          <w:tcPr>
            <w:tcW w:type="dxa" w:w="1300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shd w:fill="FFF4D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Debería</w:t>
            </w:r>
          </w:p>
        </w:tc>
      </w:tr>
      <w:tr>
        <w:tc>
          <w:tcPr>
            <w:tcW w:type="dxa" w:w="800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E10</w:t>
            </w:r>
          </w:p>
        </w:tc>
        <w:tc>
          <w:tcPr>
            <w:tcW w:type="dxa" w:w="2500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Interfaz web</w:t>
            </w:r>
          </w:p>
        </w:tc>
        <w:tc>
          <w:tcPr>
            <w:tcW w:type="dxa" w:w="5038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Indicador de almacenamiento con la conexión real</w:t>
            </w:r>
          </w:p>
        </w:tc>
        <w:tc>
          <w:tcPr>
            <w:tcW w:type="dxa" w:w="1300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shd w:fill="FFF4D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Debería</w:t>
            </w:r>
          </w:p>
        </w:tc>
      </w:tr>
      <w:tr>
        <w:tc>
          <w:tcPr>
            <w:tcW w:type="dxa" w:w="800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E05</w:t>
            </w:r>
          </w:p>
        </w:tc>
        <w:tc>
          <w:tcPr>
            <w:tcW w:type="dxa" w:w="2500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Orquestación y generación con IA</w:t>
            </w:r>
          </w:p>
        </w:tc>
        <w:tc>
          <w:tcPr>
            <w:tcW w:type="dxa" w:w="5038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Modelo principal de Gemini estable</w:t>
            </w:r>
          </w:p>
        </w:tc>
        <w:tc>
          <w:tcPr>
            <w:tcW w:type="dxa" w:w="1300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shd w:fill="FFF4D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Debería</w:t>
            </w:r>
          </w:p>
        </w:tc>
      </w:tr>
      <w:tr>
        <w:tc>
          <w:tcPr>
            <w:tcW w:type="dxa" w:w="800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E08</w:t>
            </w:r>
          </w:p>
        </w:tc>
        <w:tc>
          <w:tcPr>
            <w:tcW w:type="dxa" w:w="2500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Exportación multiformato</w:t>
            </w:r>
          </w:p>
        </w:tc>
        <w:tc>
          <w:tcPr>
            <w:tcW w:type="dxa" w:w="5038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Voz natural de OpenAI en el podcast (Ana y Leo)</w:t>
            </w:r>
          </w:p>
        </w:tc>
        <w:tc>
          <w:tcPr>
            <w:tcW w:type="dxa" w:w="1300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shd w:fill="DCF7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Podría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b/>
          <w:bCs/>
        </w:rPr>
        <w:t xml:space="preserve">Prioridades: </w:t>
      </w:r>
      <w:r>
        <w:t xml:space="preserve">Debe (imprescindible para cerrar el sprint), Debería (importante, se hace si hay tiempo) y Podría (deseable).</w:t>
      </w:r>
    </w:p>
    <w:p>
      <w:pPr>
        <w:spacing w:after="120"/>
      </w:pPr>
      <w:r>
        <w:rPr>
          <w:b/>
          <w:bCs/>
        </w:rPr>
        <w:t xml:space="preserve">Épica 54: </w:t>
      </w:r>
      <w:r>
        <w:t xml:space="preserve">corresponde al tablero del equipo y no a la numeración E01–E15 de las historias de usuario; se incluye dentro de E14.</w:t>
      </w:r>
    </w:p>
    <w:p>
      <w:r>
        <w:br w:type="page"/>
      </w:r>
    </w:p>
    <w:p>
      <w:pPr>
        <w:pStyle w:val="Heading1"/>
      </w:pPr>
      <w:r>
        <w:t xml:space="preserve">2. E09 · Persistencia en OCI Object Storage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038"/>
      </w:tblGrid>
      <w:tr>
        <w:tc>
          <w:tcPr>
            <w:tcW w:type="dxa" w:w="2600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shd w:fill="EFEA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Prioridad</w:t>
            </w:r>
          </w:p>
        </w:tc>
        <w:tc>
          <w:tcPr>
            <w:tcW w:type="dxa" w:w="7038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Debe</w:t>
            </w:r>
          </w:p>
        </w:tc>
      </w:tr>
      <w:tr>
        <w:tc>
          <w:tcPr>
            <w:tcW w:type="dxa" w:w="2600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shd w:fill="EFEA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Objetivo</w:t>
            </w:r>
          </w:p>
        </w:tc>
        <w:tc>
          <w:tcPr>
            <w:tcW w:type="dxa" w:w="7038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Que el documento original y el material generado se guarden de verdad en el bucket de OCI, requisito obligatorio del MVP.</w:t>
            </w:r>
          </w:p>
        </w:tc>
      </w:tr>
      <w:tr>
        <w:tc>
          <w:tcPr>
            <w:tcW w:type="dxa" w:w="2600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shd w:fill="EFEA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Situación actual</w:t>
            </w:r>
          </w:p>
        </w:tc>
        <w:tc>
          <w:tcPr>
            <w:tcW w:type="dxa" w:w="7038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La llave de la API existe y coincide con la configuración, pero OCI responde 401 (NotAuthenticated) y todo se guarda en el respaldo local.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Historias y tareas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3838"/>
        <w:gridCol w:w="1200"/>
        <w:gridCol w:w="2200"/>
        <w:gridCol w:w="1300"/>
      </w:tblGrid>
      <w:tr>
        <w:trPr>
          <w:tblHeader/>
        </w:trPr>
        <w:tc>
          <w:tcPr>
            <w:tcW w:type="dxa" w:w="1100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shd w:fill="6C4E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3838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shd w:fill="6C4E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Historia o tarea</w:t>
            </w:r>
          </w:p>
        </w:tc>
        <w:tc>
          <w:tcPr>
            <w:tcW w:type="dxa" w:w="1200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shd w:fill="6C4E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Prioridad</w:t>
            </w:r>
          </w:p>
        </w:tc>
        <w:tc>
          <w:tcPr>
            <w:tcW w:type="dxa" w:w="2200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shd w:fill="6C4E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Responsable</w:t>
            </w:r>
          </w:p>
        </w:tc>
        <w:tc>
          <w:tcPr>
            <w:tcW w:type="dxa" w:w="1300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shd w:fill="6C4E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Día</w:t>
            </w:r>
          </w:p>
        </w:tc>
      </w:tr>
      <w:tr>
        <w:tc>
          <w:tcPr>
            <w:tcW w:type="dxa" w:w="1100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HU-52</w:t>
            </w:r>
          </w:p>
        </w:tc>
        <w:tc>
          <w:tcPr>
            <w:tcW w:type="dxa" w:w="3838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Guardar original y material en OCI Object Storage</w:t>
            </w:r>
          </w:p>
        </w:tc>
        <w:tc>
          <w:tcPr>
            <w:tcW w:type="dxa" w:w="1200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shd w:fill="FFE5E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Debe</w:t>
            </w:r>
          </w:p>
        </w:tc>
        <w:tc>
          <w:tcPr>
            <w:tcW w:type="dxa" w:w="2200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Juan Pablo Calla, Ethan Espinoza</w:t>
            </w:r>
          </w:p>
        </w:tc>
        <w:tc>
          <w:tcPr>
            <w:tcW w:type="dxa" w:w="1300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Mar 20 oct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Criterios de aceptación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La llave pública (huella 22:f7:a8:13:…:a1:b9) está registrada en el usuario de OCI y la región del config es la de la cuenta.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scripts/test_oci_conexion.py termina con status_upload «completado».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Al crear un material, se guardan originals/&lt;doc_id&gt;, el archivo subido y contenidos/&lt;doc_id&gt;/&lt;formato&gt;-&lt;perfil&gt;.json en el bucket.</w:t>
      </w:r>
    </w:p>
    <w:p>
      <w:pPr>
        <w:spacing w:after="120"/>
      </w:pPr>
    </w:p>
    <w:p>
      <w:pPr>
        <w:pStyle w:val="Heading1"/>
      </w:pPr>
      <w:r>
        <w:t xml:space="preserve">3. E13 · Despliegue y operación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038"/>
      </w:tblGrid>
      <w:tr>
        <w:tc>
          <w:tcPr>
            <w:tcW w:type="dxa" w:w="2600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shd w:fill="EFEA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Prioridad</w:t>
            </w:r>
          </w:p>
        </w:tc>
        <w:tc>
          <w:tcPr>
            <w:tcW w:type="dxa" w:w="7038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Debe</w:t>
            </w:r>
          </w:p>
        </w:tc>
      </w:tr>
      <w:tr>
        <w:tc>
          <w:tcPr>
            <w:tcW w:type="dxa" w:w="2600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shd w:fill="EFEA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Objetivo</w:t>
            </w:r>
          </w:p>
        </w:tc>
        <w:tc>
          <w:tcPr>
            <w:tcW w:type="dxa" w:w="7038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Confirmar que el proyecto no genera costos y dejar la aplicación publicada con todas las mejoras del Sprint 4.</w:t>
            </w:r>
          </w:p>
        </w:tc>
      </w:tr>
      <w:tr>
        <w:tc>
          <w:tcPr>
            <w:tcW w:type="dxa" w:w="2600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shd w:fill="EFEA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Situación actual</w:t>
            </w:r>
          </w:p>
        </w:tc>
        <w:tc>
          <w:tcPr>
            <w:tcW w:type="dxa" w:w="7038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La aplicación está publicada en Render. Falta confirmar en la consola de OCI el presupuesto y el plan Always Free; el despliegue en OCI Compute es opcional.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Historias y tareas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3838"/>
        <w:gridCol w:w="1200"/>
        <w:gridCol w:w="2200"/>
        <w:gridCol w:w="1300"/>
      </w:tblGrid>
      <w:tr>
        <w:trPr>
          <w:tblHeader/>
        </w:trPr>
        <w:tc>
          <w:tcPr>
            <w:tcW w:type="dxa" w:w="1100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shd w:fill="6C4E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3838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shd w:fill="6C4E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Historia o tarea</w:t>
            </w:r>
          </w:p>
        </w:tc>
        <w:tc>
          <w:tcPr>
            <w:tcW w:type="dxa" w:w="1200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shd w:fill="6C4E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Prioridad</w:t>
            </w:r>
          </w:p>
        </w:tc>
        <w:tc>
          <w:tcPr>
            <w:tcW w:type="dxa" w:w="2200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shd w:fill="6C4E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Responsable</w:t>
            </w:r>
          </w:p>
        </w:tc>
        <w:tc>
          <w:tcPr>
            <w:tcW w:type="dxa" w:w="1300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shd w:fill="6C4E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Día</w:t>
            </w:r>
          </w:p>
        </w:tc>
      </w:tr>
      <w:tr>
        <w:tc>
          <w:tcPr>
            <w:tcW w:type="dxa" w:w="1100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HU-83</w:t>
            </w:r>
          </w:p>
        </w:tc>
        <w:tc>
          <w:tcPr>
            <w:tcW w:type="dxa" w:w="3838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Mantenerse en la capa Always Free</w:t>
            </w:r>
          </w:p>
        </w:tc>
        <w:tc>
          <w:tcPr>
            <w:tcW w:type="dxa" w:w="1200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shd w:fill="FFE5E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Debe</w:t>
            </w:r>
          </w:p>
        </w:tc>
        <w:tc>
          <w:tcPr>
            <w:tcW w:type="dxa" w:w="2200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Juan Pablo Calla</w:t>
            </w:r>
          </w:p>
        </w:tc>
        <w:tc>
          <w:tcPr>
            <w:tcW w:type="dxa" w:w="1300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Mar 20 oct</w:t>
            </w:r>
          </w:p>
        </w:tc>
      </w:tr>
      <w:tr>
        <w:tc>
          <w:tcPr>
            <w:tcW w:type="dxa" w:w="1100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3838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Variables de IA y de voz en Render (LLM_CADENA, claves y VIDEO_VOCES)</w:t>
            </w:r>
          </w:p>
        </w:tc>
        <w:tc>
          <w:tcPr>
            <w:tcW w:type="dxa" w:w="1200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shd w:fill="FFE5E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Debe</w:t>
            </w:r>
          </w:p>
        </w:tc>
        <w:tc>
          <w:tcPr>
            <w:tcW w:type="dxa" w:w="2200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Juan Pablo Calla</w:t>
            </w:r>
          </w:p>
        </w:tc>
        <w:tc>
          <w:tcPr>
            <w:tcW w:type="dxa" w:w="1300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Vie 23 oct</w:t>
            </w:r>
          </w:p>
        </w:tc>
      </w:tr>
      <w:tr>
        <w:tc>
          <w:tcPr>
            <w:tcW w:type="dxa" w:w="1100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HU-82</w:t>
            </w:r>
          </w:p>
        </w:tc>
        <w:tc>
          <w:tcPr>
            <w:tcW w:type="dxa" w:w="3838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Despliegue en OCI Compute Always Free</w:t>
            </w:r>
          </w:p>
        </w:tc>
        <w:tc>
          <w:tcPr>
            <w:tcW w:type="dxa" w:w="1200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shd w:fill="DCF7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Podría</w:t>
            </w:r>
          </w:p>
        </w:tc>
        <w:tc>
          <w:tcPr>
            <w:tcW w:type="dxa" w:w="2200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Ethan Espinoza</w:t>
            </w:r>
          </w:p>
        </w:tc>
        <w:tc>
          <w:tcPr>
            <w:tcW w:type="dxa" w:w="1300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Vie 23 oct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Criterios de aceptación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Existe un presupuesto de 1 USD con alerta por correo y la cuenta sigue en Always Free (no en «Pay As You Go»).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Render despliega la rama del Sprint 5 con los proveedores de respaldo y la voz natural configurados.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Opcional: la aplicación responde en el puerto 80 de una instancia Always Free de OCI.</w:t>
      </w:r>
    </w:p>
    <w:p>
      <w:pPr>
        <w:spacing w:after="120"/>
      </w:pPr>
    </w:p>
    <w:p>
      <w:pPr>
        <w:pStyle w:val="Heading1"/>
      </w:pPr>
      <w:r>
        <w:t xml:space="preserve">4. E03 · Personalización del material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038"/>
      </w:tblGrid>
      <w:tr>
        <w:tc>
          <w:tcPr>
            <w:tcW w:type="dxa" w:w="2600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shd w:fill="EFEA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Prioridad</w:t>
            </w:r>
          </w:p>
        </w:tc>
        <w:tc>
          <w:tcPr>
            <w:tcW w:type="dxa" w:w="7038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Debe</w:t>
            </w:r>
          </w:p>
        </w:tc>
      </w:tr>
      <w:tr>
        <w:tc>
          <w:tcPr>
            <w:tcW w:type="dxa" w:w="2600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shd w:fill="EFEA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Objetivo</w:t>
            </w:r>
          </w:p>
        </w:tc>
        <w:tc>
          <w:tcPr>
            <w:tcW w:type="dxa" w:w="7038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Atender la revisión del mentor: ninguna opción debe aparecer seleccionada hasta que el usuario la elija.</w:t>
            </w:r>
          </w:p>
        </w:tc>
      </w:tr>
      <w:tr>
        <w:tc>
          <w:tcPr>
            <w:tcW w:type="dxa" w:w="2600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shd w:fill="EFEA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Situación actual</w:t>
            </w:r>
          </w:p>
        </w:tc>
        <w:tc>
          <w:tcPr>
            <w:tcW w:type="dxa" w:w="7038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Al abrir la página, el formato «Tutorial» y el primer perfil aparecen sombreados porque la interfaz selecciona la primera opción automáticamente.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Historias y tareas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3838"/>
        <w:gridCol w:w="1200"/>
        <w:gridCol w:w="2200"/>
        <w:gridCol w:w="1300"/>
      </w:tblGrid>
      <w:tr>
        <w:trPr>
          <w:tblHeader/>
        </w:trPr>
        <w:tc>
          <w:tcPr>
            <w:tcW w:type="dxa" w:w="1100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shd w:fill="6C4E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3838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shd w:fill="6C4E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Historia o tarea</w:t>
            </w:r>
          </w:p>
        </w:tc>
        <w:tc>
          <w:tcPr>
            <w:tcW w:type="dxa" w:w="1200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shd w:fill="6C4E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Prioridad</w:t>
            </w:r>
          </w:p>
        </w:tc>
        <w:tc>
          <w:tcPr>
            <w:tcW w:type="dxa" w:w="2200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shd w:fill="6C4E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Responsable</w:t>
            </w:r>
          </w:p>
        </w:tc>
        <w:tc>
          <w:tcPr>
            <w:tcW w:type="dxa" w:w="1300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shd w:fill="6C4E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Día</w:t>
            </w:r>
          </w:p>
        </w:tc>
      </w:tr>
      <w:tr>
        <w:tc>
          <w:tcPr>
            <w:tcW w:type="dxa" w:w="1100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HU-15</w:t>
            </w:r>
          </w:p>
        </w:tc>
        <w:tc>
          <w:tcPr>
            <w:tcW w:type="dxa" w:w="3838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Elegir el formato pedagógico (sin selección previa)</w:t>
            </w:r>
          </w:p>
        </w:tc>
        <w:tc>
          <w:tcPr>
            <w:tcW w:type="dxa" w:w="1200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shd w:fill="FFE5E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Debe</w:t>
            </w:r>
          </w:p>
        </w:tc>
        <w:tc>
          <w:tcPr>
            <w:tcW w:type="dxa" w:w="2200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Darío Higuera</w:t>
            </w:r>
          </w:p>
        </w:tc>
        <w:tc>
          <w:tcPr>
            <w:tcW w:type="dxa" w:w="1300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Mié 21 oct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Criterios de aceptación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Al cargar la página, ningún formato aparece sombreado.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Solo se sombrea la opción que el usuario elige.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Si intenta crear el material sin elegir formato, un aviso le pide que elija uno.</w:t>
      </w:r>
    </w:p>
    <w:p>
      <w:pPr>
        <w:spacing w:after="120"/>
      </w:pPr>
    </w:p>
    <w:p>
      <w:pPr>
        <w:pStyle w:val="Heading1"/>
      </w:pPr>
      <w:r>
        <w:t xml:space="preserve">5. E14 · Calidad, pruebas y entregables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038"/>
      </w:tblGrid>
      <w:tr>
        <w:tc>
          <w:tcPr>
            <w:tcW w:type="dxa" w:w="2600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shd w:fill="EFEA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Prioridad</w:t>
            </w:r>
          </w:p>
        </w:tc>
        <w:tc>
          <w:tcPr>
            <w:tcW w:type="dxa" w:w="7038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Debe</w:t>
            </w:r>
          </w:p>
        </w:tc>
      </w:tr>
      <w:tr>
        <w:tc>
          <w:tcPr>
            <w:tcW w:type="dxa" w:w="2600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shd w:fill="EFEA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Objetivo</w:t>
            </w:r>
          </w:p>
        </w:tc>
        <w:tc>
          <w:tcPr>
            <w:tcW w:type="dxa" w:w="7038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Validar el proyecto con un documento largo y dejar los escenarios y casos de prueba documentados (épica 54 del tablero).</w:t>
            </w:r>
          </w:p>
        </w:tc>
      </w:tr>
      <w:tr>
        <w:tc>
          <w:tcPr>
            <w:tcW w:type="dxa" w:w="2600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shd w:fill="EFEA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Situación actual</w:t>
            </w:r>
          </w:p>
        </w:tc>
        <w:tc>
          <w:tcPr>
            <w:tcW w:type="dxa" w:w="7038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El documento de demo actual tiene 913 palabras. Hay 270 pruebas automatizadas, pero no un documento de casos de prueba.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Historias y tareas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3838"/>
        <w:gridCol w:w="1200"/>
        <w:gridCol w:w="2200"/>
        <w:gridCol w:w="1300"/>
      </w:tblGrid>
      <w:tr>
        <w:trPr>
          <w:tblHeader/>
        </w:trPr>
        <w:tc>
          <w:tcPr>
            <w:tcW w:type="dxa" w:w="1100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shd w:fill="6C4E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3838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shd w:fill="6C4E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Historia o tarea</w:t>
            </w:r>
          </w:p>
        </w:tc>
        <w:tc>
          <w:tcPr>
            <w:tcW w:type="dxa" w:w="1200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shd w:fill="6C4E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Prioridad</w:t>
            </w:r>
          </w:p>
        </w:tc>
        <w:tc>
          <w:tcPr>
            <w:tcW w:type="dxa" w:w="2200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shd w:fill="6C4E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Responsable</w:t>
            </w:r>
          </w:p>
        </w:tc>
        <w:tc>
          <w:tcPr>
            <w:tcW w:type="dxa" w:w="1300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shd w:fill="6C4E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Día</w:t>
            </w:r>
          </w:p>
        </w:tc>
      </w:tr>
      <w:tr>
        <w:tc>
          <w:tcPr>
            <w:tcW w:type="dxa" w:w="1100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Épica 54</w:t>
            </w:r>
          </w:p>
        </w:tc>
        <w:tc>
          <w:tcPr>
            <w:tcW w:type="dxa" w:w="3838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Documento de demo de al menos 3000 palabras</w:t>
            </w:r>
          </w:p>
        </w:tc>
        <w:tc>
          <w:tcPr>
            <w:tcW w:type="dxa" w:w="1200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shd w:fill="FFE5E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Debe</w:t>
            </w:r>
          </w:p>
        </w:tc>
        <w:tc>
          <w:tcPr>
            <w:tcW w:type="dxa" w:w="2200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Diana Dure</w:t>
            </w:r>
          </w:p>
        </w:tc>
        <w:tc>
          <w:tcPr>
            <w:tcW w:type="dxa" w:w="1300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Mié 21 oct</w:t>
            </w:r>
          </w:p>
        </w:tc>
      </w:tr>
      <w:tr>
        <w:tc>
          <w:tcPr>
            <w:tcW w:type="dxa" w:w="1100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Épica 54</w:t>
            </w:r>
          </w:p>
        </w:tc>
        <w:tc>
          <w:tcPr>
            <w:tcW w:type="dxa" w:w="3838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Escenarios y casos de prueba ejecutados con el documento largo</w:t>
            </w:r>
          </w:p>
        </w:tc>
        <w:tc>
          <w:tcPr>
            <w:tcW w:type="dxa" w:w="1200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shd w:fill="FFE5E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Debe</w:t>
            </w:r>
          </w:p>
        </w:tc>
        <w:tc>
          <w:tcPr>
            <w:tcW w:type="dxa" w:w="2200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Diana Dure</w:t>
            </w:r>
          </w:p>
        </w:tc>
        <w:tc>
          <w:tcPr>
            <w:tcW w:type="dxa" w:w="1300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Jue 22 oct</w:t>
            </w:r>
          </w:p>
        </w:tc>
      </w:tr>
      <w:tr>
        <w:tc>
          <w:tcPr>
            <w:tcW w:type="dxa" w:w="1100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HU-89</w:t>
            </w:r>
          </w:p>
        </w:tc>
        <w:tc>
          <w:tcPr>
            <w:tcW w:type="dxa" w:w="3838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Historias de usuario v3 (HU-31 hecha y las historias nuevas)</w:t>
            </w:r>
          </w:p>
        </w:tc>
        <w:tc>
          <w:tcPr>
            <w:tcW w:type="dxa" w:w="1200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shd w:fill="FFF4D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Debería</w:t>
            </w:r>
          </w:p>
        </w:tc>
        <w:tc>
          <w:tcPr>
            <w:tcW w:type="dxa" w:w="2200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Juan Pablo Calla</w:t>
            </w:r>
          </w:p>
        </w:tc>
        <w:tc>
          <w:tcPr>
            <w:tcW w:type="dxa" w:w="1300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Sáb 24 oct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Criterios de aceptación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El documento de demo tiene al menos 3000 palabras, varias secciones, tablas, siglas y fechas.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Cada caso de prueba tiene ID, objetivo, precondiciones, pasos, datos, resultado esperado y resultado obtenido.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Los casos cubren los 6 formatos, los 4 perfiles, la cobertura de todas las secciones, la fidelidad, las descargas y el video.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Los casos se ejecutan y su resultado queda registrado.</w:t>
      </w:r>
    </w:p>
    <w:p>
      <w:pPr>
        <w:spacing w:after="120"/>
      </w:pPr>
    </w:p>
    <w:p>
      <w:pPr>
        <w:pStyle w:val="Heading1"/>
      </w:pPr>
      <w:r>
        <w:t xml:space="preserve">6. E06 · Verificación de fidelidad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038"/>
      </w:tblGrid>
      <w:tr>
        <w:tc>
          <w:tcPr>
            <w:tcW w:type="dxa" w:w="2600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shd w:fill="EFEA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Prioridad</w:t>
            </w:r>
          </w:p>
        </w:tc>
        <w:tc>
          <w:tcPr>
            <w:tcW w:type="dxa" w:w="7038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Debería</w:t>
            </w:r>
          </w:p>
        </w:tc>
      </w:tr>
      <w:tr>
        <w:tc>
          <w:tcPr>
            <w:tcW w:type="dxa" w:w="2600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shd w:fill="EFEA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Objetivo</w:t>
            </w:r>
          </w:p>
        </w:tc>
        <w:tc>
          <w:tcPr>
            <w:tcW w:type="dxa" w:w="7038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Atender la revisión del mentor: mejorar el % de fidelidad respecto del documento fuente, con una mejora medible.</w:t>
            </w:r>
          </w:p>
        </w:tc>
      </w:tr>
      <w:tr>
        <w:tc>
          <w:tcPr>
            <w:tcW w:type="dxa" w:w="2600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shd w:fill="EFEA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Situación actual</w:t>
            </w:r>
          </w:p>
        </w:tc>
        <w:tc>
          <w:tcPr>
            <w:tcW w:type="dxa" w:w="7038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El verificador compara palabras (TF-IDF) y confirma con un juez de IA. Los 3 escenarios de demo dan 100%, 100% y 91,7%, sin una medición antes y después.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Historias y tareas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3838"/>
        <w:gridCol w:w="1200"/>
        <w:gridCol w:w="2200"/>
        <w:gridCol w:w="1300"/>
      </w:tblGrid>
      <w:tr>
        <w:trPr>
          <w:tblHeader/>
        </w:trPr>
        <w:tc>
          <w:tcPr>
            <w:tcW w:type="dxa" w:w="1100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shd w:fill="6C4E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3838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shd w:fill="6C4E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Historia o tarea</w:t>
            </w:r>
          </w:p>
        </w:tc>
        <w:tc>
          <w:tcPr>
            <w:tcW w:type="dxa" w:w="1200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shd w:fill="6C4E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Prioridad</w:t>
            </w:r>
          </w:p>
        </w:tc>
        <w:tc>
          <w:tcPr>
            <w:tcW w:type="dxa" w:w="2200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shd w:fill="6C4E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Responsable</w:t>
            </w:r>
          </w:p>
        </w:tc>
        <w:tc>
          <w:tcPr>
            <w:tcW w:type="dxa" w:w="1300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shd w:fill="6C4E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Día</w:t>
            </w:r>
          </w:p>
        </w:tc>
      </w:tr>
      <w:tr>
        <w:tc>
          <w:tcPr>
            <w:tcW w:type="dxa" w:w="1100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3838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Medición de partida con un conjunto fijo de documentos y formatos</w:t>
            </w:r>
          </w:p>
        </w:tc>
        <w:tc>
          <w:tcPr>
            <w:tcW w:type="dxa" w:w="1200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shd w:fill="FFF4D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Debería</w:t>
            </w:r>
          </w:p>
        </w:tc>
        <w:tc>
          <w:tcPr>
            <w:tcW w:type="dxa" w:w="2200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Gaspar Martinez</w:t>
            </w:r>
          </w:p>
        </w:tc>
        <w:tc>
          <w:tcPr>
            <w:tcW w:type="dxa" w:w="1300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Jue 22 oct</w:t>
            </w:r>
          </w:p>
        </w:tc>
      </w:tr>
      <w:tr>
        <w:tc>
          <w:tcPr>
            <w:tcW w:type="dxa" w:w="1100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3838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Comparar por significado (embeddings de Gemini) y volver a medir</w:t>
            </w:r>
          </w:p>
        </w:tc>
        <w:tc>
          <w:tcPr>
            <w:tcW w:type="dxa" w:w="1200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shd w:fill="FFF4D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Debería</w:t>
            </w:r>
          </w:p>
        </w:tc>
        <w:tc>
          <w:tcPr>
            <w:tcW w:type="dxa" w:w="2200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Gaspar Martinez</w:t>
            </w:r>
          </w:p>
        </w:tc>
        <w:tc>
          <w:tcPr>
            <w:tcW w:type="dxa" w:w="1300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Vie 23 oct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Criterios de aceptación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Existe una cifra de partida de fidelidad por formato con documentos fijos.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Tras el cambio, la fidelidad media sube sin aprobar afirmaciones que no están en el documento.</w:t>
      </w:r>
    </w:p>
    <w:p>
      <w:pPr>
        <w:spacing w:after="120"/>
      </w:pPr>
    </w:p>
    <w:p>
      <w:pPr>
        <w:pStyle w:val="Heading1"/>
      </w:pPr>
      <w:r>
        <w:t xml:space="preserve">7. E10 · Interfaz web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038"/>
      </w:tblGrid>
      <w:tr>
        <w:tc>
          <w:tcPr>
            <w:tcW w:type="dxa" w:w="2600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shd w:fill="EFEA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Prioridad</w:t>
            </w:r>
          </w:p>
        </w:tc>
        <w:tc>
          <w:tcPr>
            <w:tcW w:type="dxa" w:w="7038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Debería</w:t>
            </w:r>
          </w:p>
        </w:tc>
      </w:tr>
      <w:tr>
        <w:tc>
          <w:tcPr>
            <w:tcW w:type="dxa" w:w="2600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shd w:fill="EFEA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Objetivo</w:t>
            </w:r>
          </w:p>
        </w:tc>
        <w:tc>
          <w:tcPr>
            <w:tcW w:type="dxa" w:w="7038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Que el indicador de almacenamiento diga la verdad sobre dónde se guarda el material.</w:t>
            </w:r>
          </w:p>
        </w:tc>
      </w:tr>
      <w:tr>
        <w:tc>
          <w:tcPr>
            <w:tcW w:type="dxa" w:w="2600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shd w:fill="EFEA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Situación actual</w:t>
            </w:r>
          </w:p>
        </w:tc>
        <w:tc>
          <w:tcPr>
            <w:tcW w:type="dxa" w:w="7038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La interfaz muestra «Guardando en OCI» aunque la subida falla: /health solo comprueba que exista la configuración.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Historias y tareas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3838"/>
        <w:gridCol w:w="1200"/>
        <w:gridCol w:w="2200"/>
        <w:gridCol w:w="1300"/>
      </w:tblGrid>
      <w:tr>
        <w:trPr>
          <w:tblHeader/>
        </w:trPr>
        <w:tc>
          <w:tcPr>
            <w:tcW w:type="dxa" w:w="1100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shd w:fill="6C4E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3838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shd w:fill="6C4E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Historia o tarea</w:t>
            </w:r>
          </w:p>
        </w:tc>
        <w:tc>
          <w:tcPr>
            <w:tcW w:type="dxa" w:w="1200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shd w:fill="6C4E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Prioridad</w:t>
            </w:r>
          </w:p>
        </w:tc>
        <w:tc>
          <w:tcPr>
            <w:tcW w:type="dxa" w:w="2200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shd w:fill="6C4E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Responsable</w:t>
            </w:r>
          </w:p>
        </w:tc>
        <w:tc>
          <w:tcPr>
            <w:tcW w:type="dxa" w:w="1300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shd w:fill="6C4E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Día</w:t>
            </w:r>
          </w:p>
        </w:tc>
      </w:tr>
      <w:tr>
        <w:tc>
          <w:tcPr>
            <w:tcW w:type="dxa" w:w="1100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HU-64</w:t>
            </w:r>
          </w:p>
        </w:tc>
        <w:tc>
          <w:tcPr>
            <w:tcW w:type="dxa" w:w="3838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Indicador de almacenamiento con la conexión real</w:t>
            </w:r>
          </w:p>
        </w:tc>
        <w:tc>
          <w:tcPr>
            <w:tcW w:type="dxa" w:w="1200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shd w:fill="FFF4D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Debería</w:t>
            </w:r>
          </w:p>
        </w:tc>
        <w:tc>
          <w:tcPr>
            <w:tcW w:type="dxa" w:w="2200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Ethan Espinoza</w:t>
            </w:r>
          </w:p>
        </w:tc>
        <w:tc>
          <w:tcPr>
            <w:tcW w:type="dxa" w:w="1300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Mar 20 oct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Criterios de aceptación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«Guardando en OCI» aparece solo si OCI acepta las credenciales.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Si OCI falla, el indicador muestra el respaldo local y el motivo.</w:t>
      </w:r>
    </w:p>
    <w:p>
      <w:pPr>
        <w:spacing w:after="120"/>
      </w:pPr>
    </w:p>
    <w:p>
      <w:pPr>
        <w:pStyle w:val="Heading1"/>
      </w:pPr>
      <w:r>
        <w:t xml:space="preserve">8. E05 · Orquestación y generación con IA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038"/>
      </w:tblGrid>
      <w:tr>
        <w:tc>
          <w:tcPr>
            <w:tcW w:type="dxa" w:w="2600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shd w:fill="EFEA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Prioridad</w:t>
            </w:r>
          </w:p>
        </w:tc>
        <w:tc>
          <w:tcPr>
            <w:tcW w:type="dxa" w:w="7038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Debería</w:t>
            </w:r>
          </w:p>
        </w:tc>
      </w:tr>
      <w:tr>
        <w:tc>
          <w:tcPr>
            <w:tcW w:type="dxa" w:w="2600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shd w:fill="EFEA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Objetivo</w:t>
            </w:r>
          </w:p>
        </w:tc>
        <w:tc>
          <w:tcPr>
            <w:tcW w:type="dxa" w:w="7038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Cerrar la historia del modelo estable con la cadena de proveedores de respaldo.</w:t>
            </w:r>
          </w:p>
        </w:tc>
      </w:tr>
      <w:tr>
        <w:tc>
          <w:tcPr>
            <w:tcW w:type="dxa" w:w="2600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shd w:fill="EFEA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Situación actual</w:t>
            </w:r>
          </w:p>
        </w:tc>
        <w:tc>
          <w:tcPr>
            <w:tcW w:type="dxa" w:w="7038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Gemini sigue saturado, pero la cadena pasa a OpenRouter, Cohere u OpenAI, y la demo ya no cae al generador local.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Historias y tareas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3838"/>
        <w:gridCol w:w="1200"/>
        <w:gridCol w:w="2200"/>
        <w:gridCol w:w="1300"/>
      </w:tblGrid>
      <w:tr>
        <w:trPr>
          <w:tblHeader/>
        </w:trPr>
        <w:tc>
          <w:tcPr>
            <w:tcW w:type="dxa" w:w="1100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shd w:fill="6C4E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3838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shd w:fill="6C4E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Historia o tarea</w:t>
            </w:r>
          </w:p>
        </w:tc>
        <w:tc>
          <w:tcPr>
            <w:tcW w:type="dxa" w:w="1200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shd w:fill="6C4E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Prioridad</w:t>
            </w:r>
          </w:p>
        </w:tc>
        <w:tc>
          <w:tcPr>
            <w:tcW w:type="dxa" w:w="2200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shd w:fill="6C4E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Responsable</w:t>
            </w:r>
          </w:p>
        </w:tc>
        <w:tc>
          <w:tcPr>
            <w:tcW w:type="dxa" w:w="1300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shd w:fill="6C4E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Día</w:t>
            </w:r>
          </w:p>
        </w:tc>
      </w:tr>
      <w:tr>
        <w:tc>
          <w:tcPr>
            <w:tcW w:type="dxa" w:w="1100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HU-31</w:t>
            </w:r>
          </w:p>
        </w:tc>
        <w:tc>
          <w:tcPr>
            <w:tcW w:type="dxa" w:w="3838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Modelo principal de Gemini estable</w:t>
            </w:r>
          </w:p>
        </w:tc>
        <w:tc>
          <w:tcPr>
            <w:tcW w:type="dxa" w:w="1200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shd w:fill="FFF4D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Debería</w:t>
            </w:r>
          </w:p>
        </w:tc>
        <w:tc>
          <w:tcPr>
            <w:tcW w:type="dxa" w:w="2200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Gaspar Martinez</w:t>
            </w:r>
          </w:p>
        </w:tc>
        <w:tc>
          <w:tcPr>
            <w:tcW w:type="dxa" w:w="1300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Sáb 24 oct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Criterios de aceptación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 Gemini saturado, el material se genera con un proveedor de IA de la cadena y no con el respaldo local.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La historia figura como «Hecho» en las historias de usuario v3.</w:t>
      </w:r>
    </w:p>
    <w:p>
      <w:pPr>
        <w:spacing w:after="120"/>
      </w:pPr>
    </w:p>
    <w:p>
      <w:pPr>
        <w:pStyle w:val="Heading1"/>
      </w:pPr>
      <w:r>
        <w:t xml:space="preserve">9. E08 · Exportación multiformato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038"/>
      </w:tblGrid>
      <w:tr>
        <w:tc>
          <w:tcPr>
            <w:tcW w:type="dxa" w:w="2600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shd w:fill="EFEA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Prioridad</w:t>
            </w:r>
          </w:p>
        </w:tc>
        <w:tc>
          <w:tcPr>
            <w:tcW w:type="dxa" w:w="7038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Podría</w:t>
            </w:r>
          </w:p>
        </w:tc>
      </w:tr>
      <w:tr>
        <w:tc>
          <w:tcPr>
            <w:tcW w:type="dxa" w:w="2600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shd w:fill="EFEA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Objetivo</w:t>
            </w:r>
          </w:p>
        </w:tc>
        <w:tc>
          <w:tcPr>
            <w:tcW w:type="dxa" w:w="7038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Llevar la voz natural de OpenAI también al podcast.</w:t>
            </w:r>
          </w:p>
        </w:tc>
      </w:tr>
      <w:tr>
        <w:tc>
          <w:tcPr>
            <w:tcW w:type="dxa" w:w="2600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shd w:fill="EFEA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Situación actual</w:t>
            </w:r>
          </w:p>
        </w:tc>
        <w:tc>
          <w:tcPr>
            <w:tcW w:type="dxa" w:w="7038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El video ya usa OpenAI TTS cuando Gemini no responde; el podcast todavía cae a la voz del sistema.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Historias y tareas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3838"/>
        <w:gridCol w:w="1200"/>
        <w:gridCol w:w="2200"/>
        <w:gridCol w:w="1300"/>
      </w:tblGrid>
      <w:tr>
        <w:trPr>
          <w:tblHeader/>
        </w:trPr>
        <w:tc>
          <w:tcPr>
            <w:tcW w:type="dxa" w:w="1100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shd w:fill="6C4E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3838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shd w:fill="6C4E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Historia o tarea</w:t>
            </w:r>
          </w:p>
        </w:tc>
        <w:tc>
          <w:tcPr>
            <w:tcW w:type="dxa" w:w="1200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shd w:fill="6C4E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Prioridad</w:t>
            </w:r>
          </w:p>
        </w:tc>
        <w:tc>
          <w:tcPr>
            <w:tcW w:type="dxa" w:w="2200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shd w:fill="6C4E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Responsable</w:t>
            </w:r>
          </w:p>
        </w:tc>
        <w:tc>
          <w:tcPr>
            <w:tcW w:type="dxa" w:w="1300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shd w:fill="6C4E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Día</w:t>
            </w:r>
          </w:p>
        </w:tc>
      </w:tr>
      <w:tr>
        <w:tc>
          <w:tcPr>
            <w:tcW w:type="dxa" w:w="1100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3838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Voz natural de OpenAI en el podcast (Ana y Leo)</w:t>
            </w:r>
          </w:p>
        </w:tc>
        <w:tc>
          <w:tcPr>
            <w:tcW w:type="dxa" w:w="1200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shd w:fill="DCF7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Podría</w:t>
            </w:r>
          </w:p>
        </w:tc>
        <w:tc>
          <w:tcPr>
            <w:tcW w:type="dxa" w:w="2200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Darío Higuera</w:t>
            </w:r>
          </w:p>
        </w:tc>
        <w:tc>
          <w:tcPr>
            <w:tcW w:type="dxa" w:w="1300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Vie 23 oct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Criterios de aceptación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 Gemini saturado, el podcast se narra con dos voces naturales de OpenAI.</w:t>
      </w:r>
    </w:p>
    <w:p>
      <w:pPr>
        <w:spacing w:after="120"/>
      </w:pPr>
    </w:p>
    <w:p>
      <w:r>
        <w:br w:type="page"/>
      </w:r>
    </w:p>
    <w:p>
      <w:pPr>
        <w:pStyle w:val="Heading1"/>
      </w:pPr>
      <w:r>
        <w:t xml:space="preserve">10. Fuentes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Historias de usuario v2.0 (Historias_de_Usuario_NuevaMente_v2.docx), épicas E01 a E15.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Calendario de actividades por sprint (Calendario_Sprints_Kairos.docx), capítulo del Sprint 5.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Revisión del estado del proyecto del 18 de octubre de 2026: historias pendientes, revisión del mentor y épica 54.</w:t>
      </w:r>
    </w:p>
    <w:p>
      <w:pPr>
        <w:spacing w:after="120"/>
      </w:pPr>
      <w:r>
        <w:rPr>
          <w:i/>
          <w:iCs/>
          <w:color w:val="6E6480"/>
        </w:rPr>
        <w:t xml:space="preserve">Los responsables y los días son una propuesta según el área de cada integrante y pueden ajustarse en la planificación del sprint.</w:t>
      </w:r>
    </w:p>
    <w:sectPr>
      <w:footerReference w:type="default" r:id="rId6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E6480"/>
        <w:sz w:val="17"/>
        <w:szCs w:val="17"/>
      </w:rPr>
      <w:t xml:space="preserve">Kairos G10 · Épicas del Sprint 5 · Página </w:t>
    </w:r>
    <w:r>
      <w:rPr>
        <w:color w:val="6E6480"/>
        <w:sz w:val="17"/>
        <w:szCs w:val="17"/>
      </w:rPr>
      <w:fldChar w:fldCharType="begin"/>
    </w:r>
    <w:r>
      <w:rPr>
        <w:color w:val="6E6480"/>
        <w:sz w:val="17"/>
        <w:szCs w:val="17"/>
      </w:rPr>
      <w:instrText xml:space="preserve">PAGE</w:instrText>
    </w:r>
    <w:r>
      <w:rPr>
        <w:color w:val="6E6480"/>
        <w:sz w:val="17"/>
        <w:szCs w:val="17"/>
      </w:rPr>
      <w:fldChar w:fldCharType="separate"/>
    </w:r>
    <w:r>
      <w:rPr>
        <w:color w:val="6E6480"/>
        <w:sz w:val="17"/>
        <w:szCs w:val="17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D2440"/>
        <w:sz w:val="21"/>
        <w:szCs w:val="21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240"/>
      <w:outlineLvl w:val="0"/>
    </w:pPr>
    <w:rPr>
      <w:rFonts w:ascii="Arial" w:cs="Arial" w:eastAsia="Arial" w:hAnsi="Arial"/>
      <w:b/>
      <w:bCs/>
      <w:color w:val="6C4EF5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160"/>
      <w:outlineLvl w:val="1"/>
    </w:pPr>
    <w:rPr>
      <w:rFonts w:ascii="Arial" w:cs="Arial" w:eastAsia="Arial" w:hAnsi="Arial"/>
      <w:b/>
      <w:bCs/>
      <w:color w:val="2D2440"/>
      <w:sz w:val="24"/>
      <w:szCs w:val="24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Épicas del Sprint 5</dc:title>
  <dc:creator>Kairos G10</dc:creator>
  <cp:lastModifiedBy>Un-named</cp:lastModifiedBy>
  <cp:revision>1</cp:revision>
  <dcterms:created xsi:type="dcterms:W3CDTF">2026-10-19T18:59:13.274Z</dcterms:created>
  <dcterms:modified xsi:type="dcterms:W3CDTF">2026-10-19T18:59:13.275Z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